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831E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677C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515" w:type="dxa"/>
        <w:tblLayout w:type="fixed"/>
        <w:tblLook w:val="04A0" w:firstRow="1" w:lastRow="0" w:firstColumn="1" w:lastColumn="0" w:noHBand="0" w:noVBand="1"/>
      </w:tblPr>
      <w:tblGrid>
        <w:gridCol w:w="5022"/>
        <w:gridCol w:w="4493"/>
      </w:tblGrid>
      <w:tr w:rsidR="00C47B1F" w:rsidTr="00AF79ED">
        <w:trPr>
          <w:trHeight w:val="359"/>
        </w:trPr>
        <w:tc>
          <w:tcPr>
            <w:tcW w:w="5022" w:type="dxa"/>
          </w:tcPr>
          <w:p w:rsidR="00C47B1F" w:rsidRPr="005546AA" w:rsidRDefault="005546AA" w:rsidP="00E54A7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546AA">
              <w:rPr>
                <w:sz w:val="28"/>
                <w:szCs w:val="28"/>
              </w:rPr>
              <w:t>Исх. № СП-431-1 от 19.11.2021</w:t>
            </w:r>
          </w:p>
        </w:tc>
        <w:tc>
          <w:tcPr>
            <w:tcW w:w="4493" w:type="dxa"/>
          </w:tcPr>
          <w:p w:rsidR="00E54A74" w:rsidRPr="00E54A74" w:rsidRDefault="00E54A74" w:rsidP="00E54A74">
            <w:pPr>
              <w:ind w:left="212"/>
              <w:rPr>
                <w:sz w:val="28"/>
              </w:rPr>
            </w:pPr>
            <w:r w:rsidRPr="00E54A74">
              <w:rPr>
                <w:sz w:val="28"/>
              </w:rPr>
              <w:t xml:space="preserve">Заместителю главы города Нефтеюганска </w:t>
            </w:r>
          </w:p>
          <w:p w:rsidR="00F05166" w:rsidRDefault="00E54A74" w:rsidP="000E5EBD">
            <w:pPr>
              <w:ind w:left="212"/>
              <w:rPr>
                <w:sz w:val="28"/>
              </w:rPr>
            </w:pPr>
            <w:r w:rsidRPr="00E54A74">
              <w:rPr>
                <w:sz w:val="28"/>
              </w:rPr>
              <w:t>О.Г. Чуриковой</w:t>
            </w:r>
          </w:p>
        </w:tc>
      </w:tr>
    </w:tbl>
    <w:p w:rsidR="00F05166" w:rsidRDefault="00F05166" w:rsidP="005377FC">
      <w:pPr>
        <w:rPr>
          <w:rFonts w:eastAsia="Times New Roman" w:cs="Times New Roman"/>
          <w:b/>
          <w:sz w:val="28"/>
        </w:rPr>
      </w:pPr>
    </w:p>
    <w:p w:rsidR="000E5EBD" w:rsidRDefault="000E5EBD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Default="00B06546" w:rsidP="005377FC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F05166" w:rsidRPr="00B06546" w:rsidRDefault="00F05166" w:rsidP="000E5EBD">
      <w:pPr>
        <w:rPr>
          <w:rFonts w:eastAsia="Times New Roman" w:cs="Times New Roman"/>
          <w:b/>
          <w:sz w:val="28"/>
        </w:rPr>
      </w:pPr>
    </w:p>
    <w:p w:rsidR="00B06546" w:rsidRPr="00B06546" w:rsidRDefault="00B06546" w:rsidP="00B97D13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</w:t>
      </w:r>
      <w:r w:rsidR="000E5EBD">
        <w:rPr>
          <w:rFonts w:eastAsia="Times New Roman" w:cs="Times New Roman"/>
          <w:sz w:val="28"/>
        </w:rPr>
        <w:t xml:space="preserve">от </w:t>
      </w:r>
      <w:r w:rsidR="000E5EBD" w:rsidRPr="00B97D13">
        <w:rPr>
          <w:rFonts w:eastAsia="Times New Roman" w:cs="Times New Roman"/>
          <w:sz w:val="28"/>
        </w:rPr>
        <w:t>31.03.2021</w:t>
      </w:r>
      <w:r w:rsidR="00B97D13" w:rsidRPr="00B97D13">
        <w:rPr>
          <w:rFonts w:eastAsia="Times New Roman" w:cs="Times New Roman"/>
          <w:sz w:val="28"/>
        </w:rPr>
        <w:t xml:space="preserve"> № 923-VI,</w:t>
      </w:r>
      <w:r w:rsidR="00B97D13">
        <w:rPr>
          <w:rFonts w:eastAsia="Times New Roman" w:cs="Times New Roman"/>
          <w:sz w:val="28"/>
        </w:rPr>
        <w:t xml:space="preserve"> </w:t>
      </w:r>
      <w:r w:rsidRPr="00B06546">
        <w:rPr>
          <w:rFonts w:eastAsia="Times New Roman" w:cs="Times New Roman"/>
          <w:sz w:val="28"/>
        </w:rPr>
        <w:t>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</w:t>
      </w:r>
      <w:r w:rsidR="002C12DC">
        <w:rPr>
          <w:rFonts w:eastAsia="Times New Roman" w:cs="Times New Roman"/>
          <w:sz w:val="28"/>
        </w:rPr>
        <w:t>, муниципальная программа</w:t>
      </w:r>
      <w:r w:rsidRPr="00B06546">
        <w:rPr>
          <w:rFonts w:eastAsia="Times New Roman" w:cs="Times New Roman"/>
          <w:sz w:val="28"/>
        </w:rPr>
        <w:t>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F441C" w:rsidRDefault="003151ED" w:rsidP="002C12DC">
      <w:pPr>
        <w:ind w:firstLine="709"/>
        <w:jc w:val="both"/>
        <w:rPr>
          <w:color w:val="auto"/>
          <w:sz w:val="28"/>
        </w:rPr>
      </w:pPr>
      <w:r w:rsidRPr="003151ED">
        <w:rPr>
          <w:rFonts w:eastAsia="Times New Roman" w:cs="Times New Roman"/>
          <w:sz w:val="28"/>
        </w:rPr>
        <w:t xml:space="preserve">2. </w:t>
      </w:r>
      <w:r w:rsidR="002C12DC">
        <w:rPr>
          <w:sz w:val="28"/>
        </w:rPr>
        <w:t>Предоставленны</w:t>
      </w:r>
      <w:r w:rsidR="00DF441C">
        <w:rPr>
          <w:sz w:val="28"/>
        </w:rPr>
        <w:t>й</w:t>
      </w:r>
      <w:r w:rsidR="002C12DC">
        <w:rPr>
          <w:sz w:val="28"/>
        </w:rPr>
        <w:t xml:space="preserve"> проект изменений </w:t>
      </w:r>
      <w:r w:rsidR="00DF441C">
        <w:rPr>
          <w:color w:val="auto"/>
          <w:sz w:val="28"/>
        </w:rPr>
        <w:t>соответствует</w:t>
      </w:r>
      <w:r w:rsidR="002C12DC" w:rsidRPr="002C12DC">
        <w:rPr>
          <w:color w:val="auto"/>
          <w:sz w:val="28"/>
        </w:rPr>
        <w:t xml:space="preserve"> Порядк</w:t>
      </w:r>
      <w:r w:rsidR="00DF441C">
        <w:rPr>
          <w:color w:val="auto"/>
          <w:sz w:val="28"/>
        </w:rPr>
        <w:t>у</w:t>
      </w:r>
      <w:r w:rsidR="002C12DC" w:rsidRPr="002C12DC">
        <w:rPr>
          <w:color w:val="auto"/>
          <w:sz w:val="28"/>
        </w:rPr>
        <w:t xml:space="preserve"> от 18.04.2019 № 77-нп</w:t>
      </w:r>
      <w:r w:rsidR="00DF441C">
        <w:rPr>
          <w:color w:val="auto"/>
          <w:sz w:val="28"/>
        </w:rPr>
        <w:t>.</w:t>
      </w:r>
    </w:p>
    <w:p w:rsidR="00892A5C" w:rsidRDefault="003151ED" w:rsidP="00E9589E">
      <w:pPr>
        <w:ind w:firstLine="709"/>
        <w:jc w:val="both"/>
        <w:rPr>
          <w:rFonts w:eastAsia="Times New Roman" w:cs="Times New Roman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 П</w:t>
      </w:r>
      <w:r w:rsidR="007D5D5F" w:rsidRPr="002C12DC">
        <w:rPr>
          <w:rFonts w:eastAsia="Times New Roman" w:cs="Times New Roman"/>
          <w:color w:val="auto"/>
          <w:sz w:val="28"/>
        </w:rPr>
        <w:t xml:space="preserve">роектом изменений </w:t>
      </w:r>
      <w:r w:rsidR="00E9589E" w:rsidRPr="00E9589E">
        <w:rPr>
          <w:rFonts w:eastAsia="Times New Roman" w:cs="Times New Roman"/>
          <w:color w:val="auto"/>
          <w:sz w:val="28"/>
        </w:rPr>
        <w:t>по мероприятию «Мероприятия по повышению уровня пожарной безопасности муниципальных учреждений города»</w:t>
      </w:r>
      <w:r w:rsidR="00E9589E">
        <w:rPr>
          <w:rFonts w:eastAsia="Times New Roman" w:cs="Times New Roman"/>
          <w:color w:val="auto"/>
          <w:sz w:val="28"/>
        </w:rPr>
        <w:t xml:space="preserve"> </w:t>
      </w:r>
      <w:r w:rsidR="007D5D5F" w:rsidRPr="002C12DC">
        <w:rPr>
          <w:rFonts w:eastAsia="Times New Roman" w:cs="Times New Roman"/>
          <w:color w:val="auto"/>
          <w:sz w:val="28"/>
        </w:rPr>
        <w:t>планируется</w:t>
      </w:r>
      <w:r w:rsidR="00E9589E">
        <w:rPr>
          <w:rFonts w:eastAsia="Times New Roman" w:cs="Times New Roman"/>
          <w:color w:val="auto"/>
          <w:sz w:val="28"/>
        </w:rPr>
        <w:t xml:space="preserve"> на 2021 год</w:t>
      </w:r>
      <w:r w:rsidR="00815B99">
        <w:rPr>
          <w:rFonts w:eastAsia="Times New Roman" w:cs="Times New Roman"/>
          <w:color w:val="auto"/>
          <w:sz w:val="28"/>
        </w:rPr>
        <w:t xml:space="preserve"> </w:t>
      </w:r>
      <w:r w:rsidR="0010303B">
        <w:rPr>
          <w:rFonts w:eastAsia="Times New Roman" w:cs="Times New Roman"/>
          <w:color w:val="auto"/>
          <w:sz w:val="28"/>
        </w:rPr>
        <w:t>увеличить</w:t>
      </w:r>
      <w:r w:rsidR="00815B99">
        <w:rPr>
          <w:rFonts w:eastAsia="Times New Roman" w:cs="Times New Roman"/>
          <w:color w:val="auto"/>
          <w:sz w:val="28"/>
        </w:rPr>
        <w:t xml:space="preserve"> объём финансирования муниципальной программы за счёт средств местного бюджета на </w:t>
      </w:r>
      <w:r w:rsidR="00E9589E">
        <w:rPr>
          <w:rFonts w:eastAsia="Times New Roman" w:cs="Times New Roman"/>
          <w:color w:val="auto"/>
          <w:sz w:val="28"/>
        </w:rPr>
        <w:t>414,324</w:t>
      </w:r>
      <w:r w:rsidR="00815B99">
        <w:rPr>
          <w:rFonts w:eastAsia="Times New Roman" w:cs="Times New Roman"/>
          <w:color w:val="auto"/>
          <w:sz w:val="28"/>
        </w:rPr>
        <w:t xml:space="preserve"> тыс. рублей</w:t>
      </w:r>
      <w:r w:rsidR="00D271A8">
        <w:rPr>
          <w:rFonts w:eastAsia="Times New Roman" w:cs="Times New Roman"/>
          <w:sz w:val="28"/>
        </w:rPr>
        <w:t>, из них:</w:t>
      </w:r>
    </w:p>
    <w:p w:rsidR="00E9589E" w:rsidRDefault="00E9589E" w:rsidP="00E9589E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E9589E">
        <w:rPr>
          <w:rFonts w:eastAsia="Times New Roman" w:cs="Times New Roman"/>
          <w:color w:val="auto"/>
          <w:sz w:val="28"/>
        </w:rPr>
        <w:t>- администрации города Нефтеюганска</w:t>
      </w:r>
      <w:r>
        <w:rPr>
          <w:rFonts w:eastAsia="Times New Roman" w:cs="Times New Roman"/>
          <w:color w:val="auto"/>
          <w:sz w:val="28"/>
        </w:rPr>
        <w:t xml:space="preserve"> уменьшены</w:t>
      </w:r>
      <w:r w:rsidRPr="00E9589E">
        <w:rPr>
          <w:rFonts w:eastAsia="Times New Roman" w:cs="Times New Roman"/>
          <w:color w:val="auto"/>
          <w:sz w:val="28"/>
        </w:rPr>
        <w:t xml:space="preserve"> </w:t>
      </w:r>
      <w:r>
        <w:rPr>
          <w:rFonts w:eastAsia="Times New Roman" w:cs="Times New Roman"/>
          <w:color w:val="auto"/>
          <w:sz w:val="28"/>
        </w:rPr>
        <w:t>бюджетные ассигнования</w:t>
      </w:r>
      <w:r w:rsidRPr="00E9589E">
        <w:rPr>
          <w:rFonts w:eastAsia="Times New Roman" w:cs="Times New Roman"/>
          <w:color w:val="auto"/>
          <w:sz w:val="28"/>
        </w:rPr>
        <w:t xml:space="preserve"> на 7</w:t>
      </w:r>
      <w:r>
        <w:rPr>
          <w:rFonts w:eastAsia="Times New Roman" w:cs="Times New Roman"/>
          <w:color w:val="auto"/>
          <w:sz w:val="28"/>
        </w:rPr>
        <w:t>5</w:t>
      </w:r>
      <w:r w:rsidRPr="00E9589E">
        <w:rPr>
          <w:rFonts w:eastAsia="Times New Roman" w:cs="Times New Roman"/>
          <w:color w:val="auto"/>
          <w:sz w:val="28"/>
        </w:rPr>
        <w:t>,</w:t>
      </w:r>
      <w:r>
        <w:rPr>
          <w:rFonts w:eastAsia="Times New Roman" w:cs="Times New Roman"/>
          <w:color w:val="auto"/>
          <w:sz w:val="28"/>
        </w:rPr>
        <w:t>880 тыс. рублей</w:t>
      </w:r>
      <w:r w:rsidR="00CD3D80">
        <w:rPr>
          <w:rFonts w:eastAsia="Times New Roman" w:cs="Times New Roman"/>
          <w:color w:val="auto"/>
          <w:sz w:val="28"/>
        </w:rPr>
        <w:t>;</w:t>
      </w:r>
    </w:p>
    <w:p w:rsidR="00E9589E" w:rsidRDefault="00E9589E" w:rsidP="00E9589E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E9589E">
        <w:rPr>
          <w:rFonts w:eastAsia="Times New Roman" w:cs="Times New Roman"/>
          <w:color w:val="auto"/>
          <w:sz w:val="28"/>
        </w:rPr>
        <w:t xml:space="preserve">- департаменту образования и молодёжной политики администрации города Нефтеюганска </w:t>
      </w:r>
      <w:r>
        <w:rPr>
          <w:rFonts w:eastAsia="Times New Roman" w:cs="Times New Roman"/>
          <w:color w:val="auto"/>
          <w:sz w:val="28"/>
        </w:rPr>
        <w:t>увеличены бюджетные ассигнования</w:t>
      </w:r>
      <w:r w:rsidRPr="00E9589E">
        <w:rPr>
          <w:rFonts w:eastAsia="Times New Roman" w:cs="Times New Roman"/>
          <w:color w:val="auto"/>
          <w:sz w:val="28"/>
        </w:rPr>
        <w:t xml:space="preserve"> на </w:t>
      </w:r>
      <w:r>
        <w:rPr>
          <w:rFonts w:eastAsia="Times New Roman" w:cs="Times New Roman"/>
          <w:color w:val="auto"/>
          <w:sz w:val="28"/>
        </w:rPr>
        <w:t>288,667</w:t>
      </w:r>
      <w:r w:rsidRPr="00E9589E">
        <w:rPr>
          <w:rFonts w:eastAsia="Times New Roman" w:cs="Times New Roman"/>
          <w:color w:val="auto"/>
          <w:sz w:val="28"/>
        </w:rPr>
        <w:t xml:space="preserve"> тыс. рублей </w:t>
      </w:r>
      <w:r w:rsidR="00BC25EE">
        <w:rPr>
          <w:rFonts w:eastAsia="Times New Roman" w:cs="Times New Roman"/>
          <w:color w:val="auto"/>
          <w:sz w:val="28"/>
        </w:rPr>
        <w:t>на приобретение противопожарных дверей, огнетушителей в МАДОУ «Детский сад № 6 «Лукоморье»</w:t>
      </w:r>
      <w:r w:rsidR="00765ACD">
        <w:rPr>
          <w:rFonts w:eastAsia="Times New Roman" w:cs="Times New Roman"/>
          <w:color w:val="auto"/>
          <w:sz w:val="28"/>
        </w:rPr>
        <w:t>, системы пожарной сигнализации в МБУ ДО «ЦДО «Поиск»;</w:t>
      </w:r>
    </w:p>
    <w:p w:rsidR="00E9589E" w:rsidRDefault="00E9589E" w:rsidP="00E9589E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E9589E">
        <w:rPr>
          <w:rFonts w:eastAsia="Times New Roman" w:cs="Times New Roman"/>
          <w:color w:val="auto"/>
          <w:sz w:val="28"/>
        </w:rPr>
        <w:t xml:space="preserve">- </w:t>
      </w:r>
      <w:r>
        <w:rPr>
          <w:rFonts w:eastAsia="Times New Roman" w:cs="Times New Roman"/>
          <w:color w:val="auto"/>
          <w:sz w:val="28"/>
        </w:rPr>
        <w:t xml:space="preserve">комитету культуры и </w:t>
      </w:r>
      <w:r w:rsidR="005546AA">
        <w:rPr>
          <w:rFonts w:eastAsia="Times New Roman" w:cs="Times New Roman"/>
          <w:color w:val="auto"/>
          <w:sz w:val="28"/>
        </w:rPr>
        <w:t xml:space="preserve">туризма </w:t>
      </w:r>
      <w:r w:rsidR="005546AA" w:rsidRPr="00E9589E">
        <w:rPr>
          <w:rFonts w:eastAsia="Times New Roman" w:cs="Times New Roman"/>
          <w:color w:val="auto"/>
          <w:sz w:val="28"/>
        </w:rPr>
        <w:t>администрации</w:t>
      </w:r>
      <w:r w:rsidRPr="00E9589E">
        <w:rPr>
          <w:rFonts w:eastAsia="Times New Roman" w:cs="Times New Roman"/>
          <w:color w:val="auto"/>
          <w:sz w:val="28"/>
        </w:rPr>
        <w:t xml:space="preserve"> города </w:t>
      </w:r>
      <w:bookmarkStart w:id="0" w:name="_GoBack"/>
      <w:bookmarkEnd w:id="0"/>
      <w:r w:rsidR="005546AA" w:rsidRPr="00E9589E">
        <w:rPr>
          <w:rFonts w:eastAsia="Times New Roman" w:cs="Times New Roman"/>
          <w:color w:val="auto"/>
          <w:sz w:val="28"/>
        </w:rPr>
        <w:t>Нефтеюганска увеличены</w:t>
      </w:r>
      <w:r w:rsidRPr="00E9589E">
        <w:rPr>
          <w:rFonts w:eastAsia="Times New Roman" w:cs="Times New Roman"/>
          <w:color w:val="auto"/>
          <w:sz w:val="28"/>
        </w:rPr>
        <w:t xml:space="preserve"> бюджетные ассигнования на </w:t>
      </w:r>
      <w:r>
        <w:rPr>
          <w:rFonts w:eastAsia="Times New Roman" w:cs="Times New Roman"/>
          <w:color w:val="auto"/>
          <w:sz w:val="28"/>
        </w:rPr>
        <w:t>270,959</w:t>
      </w:r>
      <w:r w:rsidRPr="00E9589E">
        <w:rPr>
          <w:rFonts w:eastAsia="Times New Roman" w:cs="Times New Roman"/>
          <w:color w:val="auto"/>
          <w:sz w:val="28"/>
        </w:rPr>
        <w:t xml:space="preserve"> тыс. рублей </w:t>
      </w:r>
      <w:r w:rsidR="00A63532">
        <w:rPr>
          <w:rFonts w:eastAsia="Times New Roman" w:cs="Times New Roman"/>
          <w:color w:val="auto"/>
          <w:sz w:val="28"/>
        </w:rPr>
        <w:t>на приобретение системы пожарной сигнализации и системы оповещения людей о пожаре в МБУК «Городская библиотека», техническое обслуживание охранно-пожарной сигнализации, системы оповещения о пожаре, охранной сигнализации и автоматической системы пожаротушения в МБУК «Культурно-досуговых комплекс»;</w:t>
      </w:r>
    </w:p>
    <w:p w:rsidR="000612DD" w:rsidRDefault="00D271A8" w:rsidP="00CB16EB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департамент</w:t>
      </w:r>
      <w:r w:rsidR="000612DD">
        <w:rPr>
          <w:rFonts w:eastAsia="Times New Roman" w:cs="Times New Roman"/>
          <w:sz w:val="28"/>
        </w:rPr>
        <w:t>у</w:t>
      </w:r>
      <w:r>
        <w:rPr>
          <w:rFonts w:eastAsia="Times New Roman" w:cs="Times New Roman"/>
          <w:sz w:val="28"/>
        </w:rPr>
        <w:t xml:space="preserve"> градостроительства и земельных отношений администрации города Нефтеюганска </w:t>
      </w:r>
      <w:r w:rsidR="00E9589E">
        <w:rPr>
          <w:rFonts w:eastAsia="Times New Roman" w:cs="Times New Roman"/>
          <w:sz w:val="28"/>
        </w:rPr>
        <w:t>уменьшены</w:t>
      </w:r>
      <w:r>
        <w:rPr>
          <w:rFonts w:eastAsia="Times New Roman" w:cs="Times New Roman"/>
          <w:sz w:val="28"/>
        </w:rPr>
        <w:t xml:space="preserve"> </w:t>
      </w:r>
      <w:r w:rsidR="00E9589E">
        <w:rPr>
          <w:rFonts w:eastAsia="Times New Roman" w:cs="Times New Roman"/>
          <w:sz w:val="28"/>
        </w:rPr>
        <w:t xml:space="preserve">бюджетные ассигнования </w:t>
      </w:r>
      <w:r>
        <w:rPr>
          <w:rFonts w:eastAsia="Times New Roman" w:cs="Times New Roman"/>
          <w:sz w:val="28"/>
        </w:rPr>
        <w:t xml:space="preserve">на </w:t>
      </w:r>
      <w:r w:rsidR="00E9589E">
        <w:rPr>
          <w:rFonts w:eastAsia="Times New Roman" w:cs="Times New Roman"/>
          <w:sz w:val="28"/>
        </w:rPr>
        <w:t>41,277 тыс. рублей</w:t>
      </w:r>
      <w:r w:rsidR="00CD3D80" w:rsidRPr="00CD3D80">
        <w:rPr>
          <w:rFonts w:eastAsia="Times New Roman" w:cs="Times New Roman"/>
          <w:sz w:val="28"/>
        </w:rPr>
        <w:t>;</w:t>
      </w:r>
    </w:p>
    <w:p w:rsidR="002A7BEE" w:rsidRDefault="002A7BEE" w:rsidP="00DF362D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 w:rsidRPr="002A7BEE">
        <w:rPr>
          <w:rFonts w:eastAsia="Times New Roman" w:cs="Times New Roman"/>
          <w:sz w:val="28"/>
        </w:rPr>
        <w:t xml:space="preserve">- департаменту </w:t>
      </w:r>
      <w:r>
        <w:rPr>
          <w:rFonts w:eastAsia="Times New Roman" w:cs="Times New Roman"/>
          <w:sz w:val="28"/>
        </w:rPr>
        <w:t xml:space="preserve">жилищно-коммунального хозяйства </w:t>
      </w:r>
      <w:r w:rsidRPr="002A7BEE">
        <w:rPr>
          <w:rFonts w:eastAsia="Times New Roman" w:cs="Times New Roman"/>
          <w:sz w:val="28"/>
        </w:rPr>
        <w:t xml:space="preserve">администрации города Нефтеюганска </w:t>
      </w:r>
      <w:r>
        <w:rPr>
          <w:rFonts w:eastAsia="Times New Roman" w:cs="Times New Roman"/>
          <w:sz w:val="28"/>
        </w:rPr>
        <w:t>увеличены</w:t>
      </w:r>
      <w:r w:rsidRPr="002A7BEE">
        <w:rPr>
          <w:rFonts w:eastAsia="Times New Roman" w:cs="Times New Roman"/>
          <w:sz w:val="28"/>
        </w:rPr>
        <w:t xml:space="preserve"> бюджетные ассигнования на </w:t>
      </w:r>
      <w:r>
        <w:rPr>
          <w:rFonts w:eastAsia="Times New Roman" w:cs="Times New Roman"/>
          <w:sz w:val="28"/>
        </w:rPr>
        <w:t>47,345</w:t>
      </w:r>
      <w:r w:rsidRPr="002A7BEE">
        <w:rPr>
          <w:rFonts w:eastAsia="Times New Roman" w:cs="Times New Roman"/>
          <w:sz w:val="28"/>
        </w:rPr>
        <w:t xml:space="preserve"> тыс. рублей </w:t>
      </w:r>
      <w:r w:rsidRPr="00A27551">
        <w:rPr>
          <w:rFonts w:eastAsia="Times New Roman" w:cs="Times New Roman"/>
          <w:sz w:val="28"/>
        </w:rPr>
        <w:t xml:space="preserve">на </w:t>
      </w:r>
      <w:r w:rsidR="00A27551">
        <w:rPr>
          <w:rFonts w:eastAsia="Times New Roman" w:cs="Times New Roman"/>
          <w:sz w:val="28"/>
        </w:rPr>
        <w:t xml:space="preserve">техническое обслуживание и текущий ремонт средств противопожарной защиты (системы пожарной сигнализации и оповещения людей о пожаре), проверку и зарядку огнетушителей </w:t>
      </w:r>
      <w:r w:rsidR="00765ACD">
        <w:rPr>
          <w:rFonts w:eastAsia="Times New Roman" w:cs="Times New Roman"/>
          <w:sz w:val="28"/>
        </w:rPr>
        <w:t xml:space="preserve">в </w:t>
      </w:r>
      <w:r w:rsidR="00A27551">
        <w:rPr>
          <w:rFonts w:eastAsia="Times New Roman" w:cs="Times New Roman"/>
          <w:sz w:val="28"/>
        </w:rPr>
        <w:t>МКУ «ЕДДС»;</w:t>
      </w:r>
    </w:p>
    <w:p w:rsidR="002A7BEE" w:rsidRDefault="002A7BEE" w:rsidP="00DF362D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 w:rsidRPr="002A7BEE">
        <w:rPr>
          <w:rFonts w:eastAsia="Times New Roman" w:cs="Times New Roman"/>
          <w:sz w:val="28"/>
        </w:rPr>
        <w:t xml:space="preserve">- департаменту </w:t>
      </w:r>
      <w:r>
        <w:rPr>
          <w:rFonts w:eastAsia="Times New Roman" w:cs="Times New Roman"/>
          <w:sz w:val="28"/>
        </w:rPr>
        <w:t>муниципального имущества</w:t>
      </w:r>
      <w:r w:rsidRPr="002A7BEE">
        <w:rPr>
          <w:rFonts w:eastAsia="Times New Roman" w:cs="Times New Roman"/>
          <w:sz w:val="28"/>
        </w:rPr>
        <w:t xml:space="preserve"> администрации города Нефтеюганска уменьшены бюджетные ассигнования на </w:t>
      </w:r>
      <w:r>
        <w:rPr>
          <w:rFonts w:eastAsia="Times New Roman" w:cs="Times New Roman"/>
          <w:sz w:val="28"/>
        </w:rPr>
        <w:t>75,490</w:t>
      </w:r>
      <w:r w:rsidRPr="002A7BEE">
        <w:rPr>
          <w:rFonts w:eastAsia="Times New Roman" w:cs="Times New Roman"/>
          <w:sz w:val="28"/>
        </w:rPr>
        <w:t xml:space="preserve"> тыс. рублей</w:t>
      </w:r>
      <w:r w:rsidR="00CD3D80">
        <w:rPr>
          <w:rFonts w:eastAsia="Times New Roman" w:cs="Times New Roman"/>
          <w:sz w:val="28"/>
        </w:rPr>
        <w:t>.</w:t>
      </w:r>
      <w:r w:rsidRPr="002A7BEE">
        <w:rPr>
          <w:rFonts w:eastAsia="Times New Roman" w:cs="Times New Roman"/>
          <w:sz w:val="28"/>
        </w:rPr>
        <w:t xml:space="preserve"> </w:t>
      </w:r>
    </w:p>
    <w:p w:rsidR="00DF362D" w:rsidRPr="00C7113F" w:rsidRDefault="00E108A5" w:rsidP="00DF362D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</w:rPr>
        <w:t>4</w:t>
      </w:r>
      <w:r w:rsidR="00DF362D" w:rsidRPr="00C7113F">
        <w:rPr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DF441C" w:rsidRDefault="002C12DC" w:rsidP="002C12DC">
      <w:pPr>
        <w:spacing w:line="247" w:lineRule="auto"/>
        <w:ind w:firstLine="709"/>
        <w:jc w:val="both"/>
        <w:rPr>
          <w:sz w:val="28"/>
          <w:szCs w:val="28"/>
        </w:rPr>
      </w:pPr>
      <w:r w:rsidRPr="00C7113F">
        <w:rPr>
          <w:sz w:val="28"/>
          <w:szCs w:val="28"/>
        </w:rPr>
        <w:t>По итогам проведения финансово-экономической экспертизы</w:t>
      </w:r>
      <w:r w:rsidR="00DF441C">
        <w:rPr>
          <w:sz w:val="28"/>
          <w:szCs w:val="28"/>
        </w:rPr>
        <w:t xml:space="preserve"> замечания и рекомендации отсутствуют</w:t>
      </w:r>
      <w:r w:rsidRPr="00C7113F">
        <w:rPr>
          <w:sz w:val="28"/>
          <w:szCs w:val="28"/>
        </w:rPr>
        <w:t>, предлагаем направить проект изменений на утверждение</w:t>
      </w:r>
      <w:r w:rsidR="00DF441C">
        <w:rPr>
          <w:sz w:val="28"/>
          <w:szCs w:val="28"/>
        </w:rPr>
        <w:t>.</w:t>
      </w:r>
    </w:p>
    <w:p w:rsid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5377FC" w:rsidRDefault="002C12D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C7113F">
        <w:rPr>
          <w:rFonts w:eastAsia="Times New Roman" w:cs="Times New Roman"/>
          <w:sz w:val="28"/>
        </w:rPr>
        <w:t>П</w:t>
      </w:r>
      <w:r w:rsidR="00B06546" w:rsidRPr="00C7113F">
        <w:rPr>
          <w:rFonts w:eastAsia="Times New Roman" w:cs="Times New Roman"/>
          <w:sz w:val="28"/>
        </w:rPr>
        <w:t>редседател</w:t>
      </w:r>
      <w:r w:rsidRPr="00C7113F">
        <w:rPr>
          <w:rFonts w:eastAsia="Times New Roman" w:cs="Times New Roman"/>
          <w:sz w:val="28"/>
        </w:rPr>
        <w:t>ь</w:t>
      </w:r>
      <w:r w:rsidR="00B06546" w:rsidRPr="00C7113F">
        <w:rPr>
          <w:rFonts w:eastAsia="Times New Roman" w:cs="Times New Roman"/>
          <w:sz w:val="28"/>
        </w:rPr>
        <w:t xml:space="preserve">                                  </w:t>
      </w:r>
      <w:r w:rsidR="00B06546" w:rsidRPr="00C7113F">
        <w:rPr>
          <w:rFonts w:eastAsia="Times New Roman" w:cs="Times New Roman"/>
          <w:sz w:val="28"/>
        </w:rPr>
        <w:tab/>
      </w:r>
      <w:r w:rsidR="00B06546"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="00DF362D" w:rsidRPr="00C7113F">
        <w:rPr>
          <w:rFonts w:eastAsia="Times New Roman" w:cs="Times New Roman"/>
          <w:sz w:val="28"/>
        </w:rPr>
        <w:t xml:space="preserve"> </w:t>
      </w:r>
      <w:r w:rsidRPr="00C7113F">
        <w:rPr>
          <w:rFonts w:eastAsia="Times New Roman" w:cs="Times New Roman"/>
          <w:sz w:val="28"/>
        </w:rPr>
        <w:t>С.А. Гичкина</w:t>
      </w:r>
    </w:p>
    <w:p w:rsidR="00F05166" w:rsidRDefault="00F0516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sectPr w:rsidR="00F05166" w:rsidSect="000E5EBD">
      <w:headerReference w:type="default" r:id="rId12"/>
      <w:pgSz w:w="11906" w:h="16838"/>
      <w:pgMar w:top="1134" w:right="991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0D" w:rsidRDefault="0067440D">
      <w:r>
        <w:separator/>
      </w:r>
    </w:p>
  </w:endnote>
  <w:endnote w:type="continuationSeparator" w:id="0">
    <w:p w:rsidR="0067440D" w:rsidRDefault="0067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0D" w:rsidRDefault="0067440D">
      <w:r>
        <w:separator/>
      </w:r>
    </w:p>
  </w:footnote>
  <w:footnote w:type="continuationSeparator" w:id="0">
    <w:p w:rsidR="0067440D" w:rsidRDefault="0067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5546AA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008E"/>
    <w:rsid w:val="00011EB2"/>
    <w:rsid w:val="00015D8D"/>
    <w:rsid w:val="00022FCC"/>
    <w:rsid w:val="00036CFD"/>
    <w:rsid w:val="00047CE6"/>
    <w:rsid w:val="000612DD"/>
    <w:rsid w:val="00066861"/>
    <w:rsid w:val="0009728C"/>
    <w:rsid w:val="000A161C"/>
    <w:rsid w:val="000C1CAA"/>
    <w:rsid w:val="000E3D11"/>
    <w:rsid w:val="000E5EBD"/>
    <w:rsid w:val="000F454D"/>
    <w:rsid w:val="0010303B"/>
    <w:rsid w:val="001058DF"/>
    <w:rsid w:val="00114228"/>
    <w:rsid w:val="00134245"/>
    <w:rsid w:val="001662BE"/>
    <w:rsid w:val="00172A27"/>
    <w:rsid w:val="00185776"/>
    <w:rsid w:val="001967F7"/>
    <w:rsid w:val="001A2565"/>
    <w:rsid w:val="001A6BF0"/>
    <w:rsid w:val="001A72AF"/>
    <w:rsid w:val="001C79F9"/>
    <w:rsid w:val="001E376D"/>
    <w:rsid w:val="001F118A"/>
    <w:rsid w:val="00234595"/>
    <w:rsid w:val="00236920"/>
    <w:rsid w:val="00291473"/>
    <w:rsid w:val="002A7746"/>
    <w:rsid w:val="002A7BEE"/>
    <w:rsid w:val="002C12DC"/>
    <w:rsid w:val="002D3702"/>
    <w:rsid w:val="002D42F2"/>
    <w:rsid w:val="002F3964"/>
    <w:rsid w:val="003151ED"/>
    <w:rsid w:val="0036010C"/>
    <w:rsid w:val="003B176E"/>
    <w:rsid w:val="003E5A31"/>
    <w:rsid w:val="003F5398"/>
    <w:rsid w:val="003F755E"/>
    <w:rsid w:val="00403230"/>
    <w:rsid w:val="00436B01"/>
    <w:rsid w:val="00443AAA"/>
    <w:rsid w:val="004474EF"/>
    <w:rsid w:val="004806B8"/>
    <w:rsid w:val="00486C6D"/>
    <w:rsid w:val="004B3370"/>
    <w:rsid w:val="004C621C"/>
    <w:rsid w:val="004F45F5"/>
    <w:rsid w:val="0053480B"/>
    <w:rsid w:val="005377FC"/>
    <w:rsid w:val="00551205"/>
    <w:rsid w:val="005546AA"/>
    <w:rsid w:val="00554A84"/>
    <w:rsid w:val="00574391"/>
    <w:rsid w:val="00576A10"/>
    <w:rsid w:val="005C0AFE"/>
    <w:rsid w:val="005D678F"/>
    <w:rsid w:val="005F7A4F"/>
    <w:rsid w:val="0060605A"/>
    <w:rsid w:val="00606787"/>
    <w:rsid w:val="0064357A"/>
    <w:rsid w:val="00654FE1"/>
    <w:rsid w:val="00662FC0"/>
    <w:rsid w:val="00671B5A"/>
    <w:rsid w:val="0067440D"/>
    <w:rsid w:val="00682E58"/>
    <w:rsid w:val="00690A04"/>
    <w:rsid w:val="006C7A94"/>
    <w:rsid w:val="006F47A5"/>
    <w:rsid w:val="00711154"/>
    <w:rsid w:val="00723719"/>
    <w:rsid w:val="007362E9"/>
    <w:rsid w:val="00765ACD"/>
    <w:rsid w:val="00795456"/>
    <w:rsid w:val="007A2B0E"/>
    <w:rsid w:val="007D5D5F"/>
    <w:rsid w:val="007E0B23"/>
    <w:rsid w:val="00815B99"/>
    <w:rsid w:val="00836E27"/>
    <w:rsid w:val="00881315"/>
    <w:rsid w:val="00885D29"/>
    <w:rsid w:val="00886786"/>
    <w:rsid w:val="00892A5C"/>
    <w:rsid w:val="00897A20"/>
    <w:rsid w:val="008A1F45"/>
    <w:rsid w:val="008B4FCD"/>
    <w:rsid w:val="008C0977"/>
    <w:rsid w:val="008E13C7"/>
    <w:rsid w:val="008F1E0A"/>
    <w:rsid w:val="008F3E90"/>
    <w:rsid w:val="009064F0"/>
    <w:rsid w:val="009122F7"/>
    <w:rsid w:val="00933370"/>
    <w:rsid w:val="009567E0"/>
    <w:rsid w:val="00966904"/>
    <w:rsid w:val="009806CD"/>
    <w:rsid w:val="00996D31"/>
    <w:rsid w:val="009B09AF"/>
    <w:rsid w:val="009B224B"/>
    <w:rsid w:val="009D17B4"/>
    <w:rsid w:val="009D78C1"/>
    <w:rsid w:val="009D7E93"/>
    <w:rsid w:val="00A0569F"/>
    <w:rsid w:val="00A21EA6"/>
    <w:rsid w:val="00A27551"/>
    <w:rsid w:val="00A356BF"/>
    <w:rsid w:val="00A63532"/>
    <w:rsid w:val="00A643EF"/>
    <w:rsid w:val="00A95E9B"/>
    <w:rsid w:val="00AF79ED"/>
    <w:rsid w:val="00B06546"/>
    <w:rsid w:val="00B253F8"/>
    <w:rsid w:val="00B470D2"/>
    <w:rsid w:val="00B733CD"/>
    <w:rsid w:val="00B862A4"/>
    <w:rsid w:val="00B97D13"/>
    <w:rsid w:val="00BC25EE"/>
    <w:rsid w:val="00BC3EC7"/>
    <w:rsid w:val="00BE7445"/>
    <w:rsid w:val="00BF4A05"/>
    <w:rsid w:val="00BF5A62"/>
    <w:rsid w:val="00C1492B"/>
    <w:rsid w:val="00C47B1F"/>
    <w:rsid w:val="00C52DDA"/>
    <w:rsid w:val="00C7113F"/>
    <w:rsid w:val="00C77DC1"/>
    <w:rsid w:val="00C93E65"/>
    <w:rsid w:val="00CB16EB"/>
    <w:rsid w:val="00CC21CE"/>
    <w:rsid w:val="00CD2D8B"/>
    <w:rsid w:val="00CD3D80"/>
    <w:rsid w:val="00CF299A"/>
    <w:rsid w:val="00D07CD7"/>
    <w:rsid w:val="00D21449"/>
    <w:rsid w:val="00D22D2F"/>
    <w:rsid w:val="00D271A8"/>
    <w:rsid w:val="00D55BF1"/>
    <w:rsid w:val="00D77D85"/>
    <w:rsid w:val="00D90BA8"/>
    <w:rsid w:val="00D96DF5"/>
    <w:rsid w:val="00DA522E"/>
    <w:rsid w:val="00DE4EAF"/>
    <w:rsid w:val="00DF362D"/>
    <w:rsid w:val="00DF441C"/>
    <w:rsid w:val="00E108A5"/>
    <w:rsid w:val="00E54A74"/>
    <w:rsid w:val="00E9589E"/>
    <w:rsid w:val="00EA1389"/>
    <w:rsid w:val="00EA555B"/>
    <w:rsid w:val="00EC26FB"/>
    <w:rsid w:val="00EE5D63"/>
    <w:rsid w:val="00EF1C2F"/>
    <w:rsid w:val="00F05166"/>
    <w:rsid w:val="00F749FF"/>
    <w:rsid w:val="00F77853"/>
    <w:rsid w:val="00F80929"/>
    <w:rsid w:val="00FD0DD0"/>
    <w:rsid w:val="00FD1A97"/>
    <w:rsid w:val="00FD346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08AB"/>
  <w15:docId w15:val="{A383FD75-342F-46A3-8244-B98EEDD7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E6EFB-1B94-4CBF-BC6D-9A0647D6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36</cp:revision>
  <cp:lastPrinted>2021-02-10T08:18:00Z</cp:lastPrinted>
  <dcterms:created xsi:type="dcterms:W3CDTF">2020-10-13T09:30:00Z</dcterms:created>
  <dcterms:modified xsi:type="dcterms:W3CDTF">2021-12-28T12:52:00Z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