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r w:rsidR="00F12513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88D3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3F5A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4395"/>
        <w:gridCol w:w="5103"/>
      </w:tblGrid>
      <w:tr w:rsidR="00C47B1F" w:rsidTr="00F12513">
        <w:tc>
          <w:tcPr>
            <w:tcW w:w="4395" w:type="dxa"/>
          </w:tcPr>
          <w:p w:rsidR="00D85FBA" w:rsidRDefault="003E0CE7" w:rsidP="00D85FB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</w:t>
            </w:r>
            <w:r w:rsidR="00D85FBA">
              <w:rPr>
                <w:sz w:val="28"/>
              </w:rPr>
              <w:t xml:space="preserve"> </w:t>
            </w:r>
            <w:r>
              <w:rPr>
                <w:sz w:val="28"/>
              </w:rPr>
              <w:t>СП-</w:t>
            </w:r>
            <w:r w:rsidR="00D5688A">
              <w:rPr>
                <w:sz w:val="28"/>
              </w:rPr>
              <w:t>357</w:t>
            </w:r>
            <w:r w:rsidR="00575A5B">
              <w:rPr>
                <w:sz w:val="28"/>
              </w:rPr>
              <w:t>-1</w:t>
            </w:r>
            <w:r w:rsidR="00122682">
              <w:rPr>
                <w:sz w:val="28"/>
              </w:rPr>
              <w:t xml:space="preserve">  </w:t>
            </w:r>
            <w:r w:rsidR="00201BFA">
              <w:rPr>
                <w:sz w:val="28"/>
              </w:rPr>
              <w:t xml:space="preserve">от </w:t>
            </w:r>
            <w:r w:rsidR="008A4881">
              <w:rPr>
                <w:sz w:val="28"/>
              </w:rPr>
              <w:t>2</w:t>
            </w:r>
            <w:r w:rsidR="00EB5AB2">
              <w:rPr>
                <w:sz w:val="28"/>
              </w:rPr>
              <w:t>7</w:t>
            </w:r>
            <w:r w:rsidR="008A4881">
              <w:rPr>
                <w:sz w:val="28"/>
              </w:rPr>
              <w:t>.09</w:t>
            </w:r>
            <w:r w:rsidR="00AE5A6F">
              <w:rPr>
                <w:sz w:val="28"/>
              </w:rPr>
              <w:t>.2021</w:t>
            </w:r>
            <w:r w:rsidR="00201BFA">
              <w:rPr>
                <w:sz w:val="28"/>
              </w:rPr>
              <w:t xml:space="preserve"> </w:t>
            </w:r>
            <w:r w:rsidR="00D85FBA">
              <w:rPr>
                <w:sz w:val="28"/>
              </w:rPr>
              <w:t xml:space="preserve">    </w:t>
            </w:r>
          </w:p>
        </w:tc>
        <w:tc>
          <w:tcPr>
            <w:tcW w:w="5103" w:type="dxa"/>
          </w:tcPr>
          <w:p w:rsidR="00F12513" w:rsidRDefault="00F12513" w:rsidP="00D85FBA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9337A7">
      <w:pPr>
        <w:rPr>
          <w:b/>
          <w:sz w:val="28"/>
        </w:rPr>
      </w:pPr>
    </w:p>
    <w:p w:rsidR="00AE1307" w:rsidRDefault="00AE1307" w:rsidP="00D81D78">
      <w:pPr>
        <w:jc w:val="center"/>
        <w:rPr>
          <w:b/>
          <w:sz w:val="28"/>
        </w:rPr>
      </w:pPr>
    </w:p>
    <w:p w:rsidR="00C47B1F" w:rsidRDefault="00D55BF1" w:rsidP="00D81D78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D81D78">
      <w:pPr>
        <w:jc w:val="center"/>
        <w:rPr>
          <w:sz w:val="28"/>
        </w:rPr>
      </w:pPr>
      <w:r>
        <w:rPr>
          <w:b/>
          <w:sz w:val="28"/>
        </w:rPr>
        <w:t xml:space="preserve"> «Развитие </w:t>
      </w:r>
      <w:r w:rsidR="00B41E13">
        <w:rPr>
          <w:b/>
          <w:sz w:val="28"/>
        </w:rPr>
        <w:t>транспортной системы в городе</w:t>
      </w:r>
      <w:r>
        <w:rPr>
          <w:b/>
          <w:sz w:val="28"/>
        </w:rPr>
        <w:t xml:space="preserve"> Нефтеюганск</w:t>
      </w:r>
      <w:r w:rsidR="00B41E13">
        <w:rPr>
          <w:b/>
          <w:sz w:val="28"/>
        </w:rPr>
        <w:t>е</w:t>
      </w:r>
      <w:r>
        <w:rPr>
          <w:b/>
          <w:sz w:val="28"/>
        </w:rPr>
        <w:t>»</w:t>
      </w:r>
    </w:p>
    <w:p w:rsidR="00C47B1F" w:rsidRDefault="00C47B1F" w:rsidP="00D81D78">
      <w:pPr>
        <w:ind w:firstLine="709"/>
        <w:jc w:val="both"/>
        <w:rPr>
          <w:sz w:val="28"/>
        </w:rPr>
      </w:pPr>
    </w:p>
    <w:p w:rsidR="00C47B1F" w:rsidRPr="00B41E13" w:rsidRDefault="00D55BF1" w:rsidP="00D81D78">
      <w:pPr>
        <w:ind w:firstLine="708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 w:rsidRPr="00B41E13">
        <w:rPr>
          <w:sz w:val="28"/>
        </w:rPr>
        <w:t xml:space="preserve">изменений в муниципальную программу «Развитие </w:t>
      </w:r>
      <w:r w:rsidR="00B41E13" w:rsidRPr="00B41E13">
        <w:rPr>
          <w:sz w:val="28"/>
        </w:rPr>
        <w:t>транспортной системы в городе Нефтеюганске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0137C9" w:rsidRPr="000137C9">
        <w:rPr>
          <w:sz w:val="28"/>
        </w:rPr>
        <w:t xml:space="preserve"> (</w:t>
      </w:r>
      <w:r w:rsidR="000137C9">
        <w:rPr>
          <w:sz w:val="28"/>
        </w:rPr>
        <w:t xml:space="preserve">далее по тексту – Порядок </w:t>
      </w:r>
      <w:r w:rsidR="000137C9" w:rsidRPr="000137C9">
        <w:rPr>
          <w:sz w:val="28"/>
        </w:rPr>
        <w:t>от 18.04.2019 № 77-нп</w:t>
      </w:r>
      <w:r w:rsidR="000137C9">
        <w:rPr>
          <w:sz w:val="28"/>
        </w:rPr>
        <w:t>)</w:t>
      </w:r>
      <w:r>
        <w:rPr>
          <w:sz w:val="28"/>
        </w:rPr>
        <w:t>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2424D6" w:rsidRPr="000137C9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</w:r>
      <w:r w:rsidRPr="000137C9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0B6EA1" w:rsidRDefault="00A00C9F" w:rsidP="000B6EA1">
      <w:pP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  <w:r w:rsidRPr="002424D6">
        <w:rPr>
          <w:sz w:val="28"/>
        </w:rPr>
        <w:t>Предоставленный проект изменений</w:t>
      </w:r>
      <w:r w:rsidR="00DA22CF">
        <w:rPr>
          <w:sz w:val="28"/>
        </w:rPr>
        <w:t xml:space="preserve"> не </w:t>
      </w:r>
      <w:r w:rsidRPr="002424D6">
        <w:rPr>
          <w:sz w:val="28"/>
        </w:rPr>
        <w:t>соответствуе</w:t>
      </w:r>
      <w:r w:rsidR="002424D6">
        <w:rPr>
          <w:sz w:val="28"/>
        </w:rPr>
        <w:t>т Порядку от 18.04.2019 № 77-нп.</w:t>
      </w:r>
      <w:r w:rsidR="00DA22CF">
        <w:rPr>
          <w:sz w:val="28"/>
        </w:rPr>
        <w:t xml:space="preserve"> </w:t>
      </w:r>
      <w:r w:rsidR="000B6EA1">
        <w:rPr>
          <w:sz w:val="28"/>
        </w:rPr>
        <w:t>П</w:t>
      </w:r>
      <w:r w:rsidR="006B7C59">
        <w:rPr>
          <w:sz w:val="28"/>
        </w:rPr>
        <w:t xml:space="preserve">унктом 1.1. Приложения № 1 к </w:t>
      </w:r>
      <w:r w:rsidR="006B7C59" w:rsidRPr="006B7C59">
        <w:rPr>
          <w:sz w:val="28"/>
        </w:rPr>
        <w:t>Порядку от 18.04.2019 № 77-нп</w:t>
      </w:r>
      <w:r w:rsidR="000B6EA1">
        <w:rPr>
          <w:sz w:val="28"/>
        </w:rPr>
        <w:t xml:space="preserve"> </w:t>
      </w:r>
      <w:r w:rsidR="006B7C59">
        <w:rPr>
          <w:sz w:val="28"/>
        </w:rPr>
        <w:t xml:space="preserve">определено, что модельная </w:t>
      </w:r>
      <w:r w:rsidR="000B6EA1">
        <w:rPr>
          <w:rFonts w:cs="Times New Roman"/>
          <w:color w:val="auto"/>
          <w:sz w:val="28"/>
          <w:szCs w:val="28"/>
        </w:rPr>
        <w:t xml:space="preserve">муниципальная программа представляет </w:t>
      </w:r>
      <w:r w:rsidR="000B6EA1" w:rsidRPr="000B6EA1">
        <w:rPr>
          <w:rFonts w:cs="Times New Roman"/>
          <w:color w:val="auto"/>
          <w:sz w:val="28"/>
          <w:szCs w:val="28"/>
          <w:u w:val="single"/>
        </w:rPr>
        <w:t>собой совокупность обязательных требований к структуре муниципальных программ</w:t>
      </w:r>
      <w:r w:rsidR="000B6EA1">
        <w:rPr>
          <w:rFonts w:cs="Times New Roman"/>
          <w:color w:val="auto"/>
          <w:sz w:val="28"/>
          <w:szCs w:val="28"/>
        </w:rPr>
        <w:t xml:space="preserve">, их содержанию, механизмам реализации мероприятий муниципальных программ города Нефтеюганска. Следовательно, содержит требования также к оформлению паспорта муниципальной программы, однако, </w:t>
      </w:r>
      <w:r w:rsidR="00736C4E">
        <w:rPr>
          <w:rFonts w:cs="Times New Roman"/>
          <w:color w:val="auto"/>
          <w:sz w:val="28"/>
          <w:szCs w:val="28"/>
        </w:rPr>
        <w:t xml:space="preserve">не отражено внесение изменений в строку «Целевые показатели муниципальной программы» </w:t>
      </w:r>
      <w:r w:rsidR="000B6EA1">
        <w:rPr>
          <w:rFonts w:cs="Times New Roman"/>
          <w:color w:val="auto"/>
          <w:sz w:val="28"/>
          <w:szCs w:val="28"/>
        </w:rPr>
        <w:t xml:space="preserve">при </w:t>
      </w:r>
      <w:r w:rsidR="00736C4E">
        <w:rPr>
          <w:rFonts w:cs="Times New Roman"/>
          <w:color w:val="auto"/>
          <w:sz w:val="28"/>
          <w:szCs w:val="28"/>
        </w:rPr>
        <w:t xml:space="preserve">соответствующей корректировке </w:t>
      </w:r>
      <w:r w:rsidR="009870AC">
        <w:rPr>
          <w:rFonts w:cs="Times New Roman"/>
          <w:color w:val="auto"/>
          <w:sz w:val="28"/>
          <w:szCs w:val="28"/>
        </w:rPr>
        <w:t>целевых</w:t>
      </w:r>
      <w:r w:rsidR="000B6EA1">
        <w:rPr>
          <w:rFonts w:cs="Times New Roman"/>
          <w:color w:val="auto"/>
          <w:sz w:val="28"/>
          <w:szCs w:val="28"/>
        </w:rPr>
        <w:t xml:space="preserve"> показател</w:t>
      </w:r>
      <w:r w:rsidR="009870AC">
        <w:rPr>
          <w:rFonts w:cs="Times New Roman"/>
          <w:color w:val="auto"/>
          <w:sz w:val="28"/>
          <w:szCs w:val="28"/>
        </w:rPr>
        <w:t>ей в</w:t>
      </w:r>
      <w:r w:rsidR="000B6EA1">
        <w:rPr>
          <w:rFonts w:cs="Times New Roman"/>
          <w:color w:val="auto"/>
          <w:sz w:val="28"/>
          <w:szCs w:val="28"/>
        </w:rPr>
        <w:t xml:space="preserve"> </w:t>
      </w:r>
      <w:r w:rsidR="00736C4E">
        <w:rPr>
          <w:rFonts w:cs="Times New Roman"/>
          <w:color w:val="auto"/>
          <w:sz w:val="28"/>
          <w:szCs w:val="28"/>
        </w:rPr>
        <w:t>таблиц</w:t>
      </w:r>
      <w:r w:rsidR="009870AC">
        <w:rPr>
          <w:rFonts w:cs="Times New Roman"/>
          <w:color w:val="auto"/>
          <w:sz w:val="28"/>
          <w:szCs w:val="28"/>
        </w:rPr>
        <w:t>е</w:t>
      </w:r>
      <w:r w:rsidR="00736C4E">
        <w:rPr>
          <w:rFonts w:cs="Times New Roman"/>
          <w:color w:val="auto"/>
          <w:sz w:val="28"/>
          <w:szCs w:val="28"/>
        </w:rPr>
        <w:t xml:space="preserve"> № 1 «Целевые показатели муниципальной программы»</w:t>
      </w:r>
      <w:r w:rsidR="009870AC">
        <w:rPr>
          <w:rFonts w:cs="Times New Roman"/>
          <w:color w:val="auto"/>
          <w:sz w:val="28"/>
          <w:szCs w:val="28"/>
        </w:rPr>
        <w:t>.</w:t>
      </w:r>
    </w:p>
    <w:p w:rsidR="009870AC" w:rsidRDefault="009870AC" w:rsidP="000B6EA1">
      <w:pPr>
        <w:autoSpaceDE w:val="0"/>
        <w:autoSpaceDN w:val="0"/>
        <w:adjustRightInd w:val="0"/>
        <w:ind w:firstLine="54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Рекомендуем внести соответствующие изменения.</w:t>
      </w:r>
    </w:p>
    <w:p w:rsidR="009057D0" w:rsidRPr="00B607BD" w:rsidRDefault="009057D0" w:rsidP="00B607BD">
      <w:pPr>
        <w:tabs>
          <w:tab w:val="left" w:pos="0"/>
        </w:tabs>
        <w:ind w:left="709"/>
        <w:jc w:val="both"/>
        <w:rPr>
          <w:sz w:val="28"/>
        </w:rPr>
      </w:pPr>
      <w:r w:rsidRPr="00B607BD">
        <w:rPr>
          <w:sz w:val="28"/>
        </w:rPr>
        <w:t>3. Проектом изменений планируется:</w:t>
      </w:r>
    </w:p>
    <w:p w:rsidR="009057D0" w:rsidRPr="006A03AF" w:rsidRDefault="009057D0" w:rsidP="009057D0">
      <w:pPr>
        <w:tabs>
          <w:tab w:val="left" w:pos="0"/>
        </w:tabs>
        <w:jc w:val="both"/>
        <w:rPr>
          <w:sz w:val="28"/>
        </w:rPr>
      </w:pPr>
      <w:r w:rsidRPr="006A03AF">
        <w:rPr>
          <w:sz w:val="28"/>
        </w:rPr>
        <w:tab/>
        <w:t xml:space="preserve">3.1. В паспорте муниципальной программы </w:t>
      </w:r>
      <w:r w:rsidR="00026E95">
        <w:rPr>
          <w:sz w:val="28"/>
        </w:rPr>
        <w:t>строку</w:t>
      </w:r>
      <w:r w:rsidRPr="006A03AF">
        <w:rPr>
          <w:sz w:val="28"/>
        </w:rPr>
        <w:t xml:space="preserve"> «Параметры финансового обеспечения муниципальной программы» изложить в новой редакции, а именно, у</w:t>
      </w:r>
      <w:r w:rsidR="00C64C02" w:rsidRPr="006A03AF">
        <w:rPr>
          <w:sz w:val="28"/>
        </w:rPr>
        <w:t>меньш</w:t>
      </w:r>
      <w:r w:rsidRPr="006A03AF">
        <w:rPr>
          <w:sz w:val="28"/>
        </w:rPr>
        <w:t xml:space="preserve">ить объём финансирования на сумму </w:t>
      </w:r>
      <w:r w:rsidR="00026E95">
        <w:rPr>
          <w:sz w:val="28"/>
        </w:rPr>
        <w:t>381 524,990 тыс. рублей:</w:t>
      </w:r>
    </w:p>
    <w:p w:rsidR="00026E95" w:rsidRDefault="009057D0" w:rsidP="009057D0">
      <w:pPr>
        <w:tabs>
          <w:tab w:val="left" w:pos="0"/>
        </w:tabs>
        <w:jc w:val="both"/>
        <w:rPr>
          <w:sz w:val="28"/>
        </w:rPr>
      </w:pPr>
      <w:r w:rsidRPr="006A03AF">
        <w:rPr>
          <w:sz w:val="28"/>
        </w:rPr>
        <w:tab/>
      </w:r>
      <w:r w:rsidR="00026E95">
        <w:rPr>
          <w:sz w:val="28"/>
        </w:rPr>
        <w:t xml:space="preserve">- </w:t>
      </w:r>
      <w:r w:rsidR="00026E95" w:rsidRPr="006A03AF">
        <w:rPr>
          <w:sz w:val="28"/>
        </w:rPr>
        <w:t xml:space="preserve">в 2021 году </w:t>
      </w:r>
      <w:r w:rsidR="00003E2B">
        <w:rPr>
          <w:sz w:val="28"/>
        </w:rPr>
        <w:t>увеличить бюджетные ассигнования в сумме 8 774,210 тыс. рублей;</w:t>
      </w:r>
    </w:p>
    <w:p w:rsidR="00003E2B" w:rsidRDefault="00003E2B" w:rsidP="009057D0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-в 2022 году </w:t>
      </w:r>
      <w:r w:rsidR="00EB0E37">
        <w:rPr>
          <w:sz w:val="28"/>
        </w:rPr>
        <w:t>уменьшить бюджетные ассигнования в сумме 390 299,200 тыс. рублей.</w:t>
      </w:r>
    </w:p>
    <w:p w:rsidR="00296359" w:rsidRPr="00CF2997" w:rsidRDefault="001D254A" w:rsidP="00296359">
      <w:pPr>
        <w:jc w:val="both"/>
        <w:rPr>
          <w:sz w:val="28"/>
          <w:szCs w:val="28"/>
          <w:lang w:eastAsia="en-US"/>
        </w:rPr>
      </w:pPr>
      <w:r>
        <w:rPr>
          <w:sz w:val="28"/>
        </w:rPr>
        <w:tab/>
      </w:r>
      <w:r w:rsidR="009057D0" w:rsidRPr="006A03AF">
        <w:rPr>
          <w:sz w:val="28"/>
        </w:rPr>
        <w:t xml:space="preserve">3.2. </w:t>
      </w:r>
      <w:r w:rsidR="00296359">
        <w:rPr>
          <w:sz w:val="28"/>
        </w:rPr>
        <w:t>В таблице 1 «Целевые показатели муниципальной программы «Развитие транспортной системы в городе Нефтеюганске» и</w:t>
      </w:r>
      <w:r w:rsidR="00296359" w:rsidRPr="00CF2997">
        <w:rPr>
          <w:sz w:val="28"/>
          <w:szCs w:val="28"/>
        </w:rPr>
        <w:t>зменены ц</w:t>
      </w:r>
      <w:r w:rsidR="00296359" w:rsidRPr="00CF2997">
        <w:rPr>
          <w:sz w:val="28"/>
          <w:szCs w:val="28"/>
          <w:lang w:eastAsia="en-US"/>
        </w:rPr>
        <w:t>елевые показатели:</w:t>
      </w:r>
    </w:p>
    <w:p w:rsidR="00296359" w:rsidRDefault="00296359" w:rsidP="00296359">
      <w:pPr>
        <w:ind w:firstLine="708"/>
        <w:jc w:val="both"/>
        <w:rPr>
          <w:sz w:val="28"/>
          <w:szCs w:val="28"/>
          <w:lang w:eastAsia="en-US"/>
        </w:rPr>
      </w:pPr>
      <w:r w:rsidRPr="005D1C23">
        <w:rPr>
          <w:sz w:val="28"/>
          <w:szCs w:val="28"/>
          <w:lang w:eastAsia="en-US"/>
        </w:rPr>
        <w:t>-</w:t>
      </w:r>
      <w:r w:rsidRPr="005D1C23">
        <w:rPr>
          <w:sz w:val="28"/>
          <w:szCs w:val="28"/>
        </w:rPr>
        <w:t xml:space="preserve"> </w:t>
      </w:r>
      <w:r w:rsidR="00552719">
        <w:rPr>
          <w:sz w:val="28"/>
          <w:szCs w:val="28"/>
        </w:rPr>
        <w:t xml:space="preserve">показатель </w:t>
      </w:r>
      <w:r w:rsidRPr="005D1C23">
        <w:rPr>
          <w:sz w:val="28"/>
          <w:szCs w:val="28"/>
        </w:rPr>
        <w:t>п</w:t>
      </w:r>
      <w:r w:rsidRPr="005D1C23">
        <w:rPr>
          <w:sz w:val="28"/>
          <w:szCs w:val="28"/>
          <w:lang w:eastAsia="en-US"/>
        </w:rPr>
        <w:t>ротяженность сети автомобильных дорог общего пользования местного значения</w:t>
      </w:r>
      <w:r>
        <w:rPr>
          <w:sz w:val="28"/>
          <w:szCs w:val="28"/>
          <w:lang w:eastAsia="en-US"/>
        </w:rPr>
        <w:t xml:space="preserve"> </w:t>
      </w:r>
      <w:r w:rsidR="00552719" w:rsidRPr="005D1C23">
        <w:rPr>
          <w:sz w:val="28"/>
          <w:szCs w:val="28"/>
        </w:rPr>
        <w:t>увеличен</w:t>
      </w:r>
      <w:r w:rsidR="0055271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 1,450 км (составила – 58,030 км) на основании постановления администрации города Нефтеюганска от 04.08.2021 № 1302-п «О внесении изменения в постановление администрации города Нефтеюганска от 29.06.2020 № 1003-п «Об утверждении перечня автомобильных дорог общего пользования местного значения города Нефтеюганска»;</w:t>
      </w:r>
    </w:p>
    <w:p w:rsidR="00296359" w:rsidRDefault="00296359" w:rsidP="0029635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552719">
        <w:rPr>
          <w:sz w:val="28"/>
          <w:szCs w:val="28"/>
          <w:lang w:eastAsia="en-US"/>
        </w:rPr>
        <w:t xml:space="preserve">показатель </w:t>
      </w:r>
      <w:r>
        <w:rPr>
          <w:sz w:val="28"/>
          <w:szCs w:val="28"/>
          <w:lang w:eastAsia="en-US"/>
        </w:rPr>
        <w:t>п</w:t>
      </w:r>
      <w:r w:rsidRPr="005D1C23">
        <w:rPr>
          <w:sz w:val="28"/>
          <w:szCs w:val="28"/>
          <w:lang w:eastAsia="en-US"/>
        </w:rPr>
        <w:t>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</w:r>
      <w:r>
        <w:rPr>
          <w:sz w:val="28"/>
          <w:szCs w:val="28"/>
          <w:lang w:eastAsia="en-US"/>
        </w:rPr>
        <w:t xml:space="preserve"> </w:t>
      </w:r>
      <w:r w:rsidR="00552719">
        <w:rPr>
          <w:sz w:val="28"/>
          <w:szCs w:val="28"/>
          <w:lang w:eastAsia="en-US"/>
        </w:rPr>
        <w:t>увеличен</w:t>
      </w:r>
      <w:r>
        <w:rPr>
          <w:sz w:val="28"/>
          <w:szCs w:val="28"/>
          <w:lang w:eastAsia="en-US"/>
        </w:rPr>
        <w:t xml:space="preserve"> на 1,689 км (составил 6,199 км);</w:t>
      </w:r>
    </w:p>
    <w:p w:rsidR="00296359" w:rsidRDefault="00296359" w:rsidP="0029635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552719">
        <w:rPr>
          <w:sz w:val="28"/>
          <w:szCs w:val="28"/>
          <w:lang w:eastAsia="en-US"/>
        </w:rPr>
        <w:t xml:space="preserve">показатель </w:t>
      </w:r>
      <w:r>
        <w:rPr>
          <w:sz w:val="28"/>
          <w:szCs w:val="28"/>
          <w:lang w:eastAsia="en-US"/>
        </w:rPr>
        <w:t>о</w:t>
      </w:r>
      <w:r w:rsidRPr="00650430">
        <w:rPr>
          <w:sz w:val="28"/>
          <w:szCs w:val="28"/>
          <w:lang w:eastAsia="en-US"/>
        </w:rPr>
        <w:t xml:space="preserve">бщая протяженность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 </w:t>
      </w:r>
      <w:r w:rsidR="00552719">
        <w:rPr>
          <w:sz w:val="28"/>
          <w:szCs w:val="28"/>
          <w:lang w:eastAsia="en-US"/>
        </w:rPr>
        <w:t>уменьшен на 0,239 км (</w:t>
      </w:r>
      <w:r w:rsidRPr="00650430">
        <w:rPr>
          <w:sz w:val="28"/>
          <w:szCs w:val="28"/>
          <w:lang w:eastAsia="en-US"/>
        </w:rPr>
        <w:t xml:space="preserve">составил </w:t>
      </w:r>
      <w:r w:rsidRPr="00650430">
        <w:rPr>
          <w:sz w:val="28"/>
          <w:szCs w:val="28"/>
        </w:rPr>
        <w:t>5,682</w:t>
      </w:r>
      <w:r>
        <w:rPr>
          <w:sz w:val="28"/>
          <w:szCs w:val="28"/>
          <w:lang w:eastAsia="en-US"/>
        </w:rPr>
        <w:t xml:space="preserve"> км</w:t>
      </w:r>
      <w:r w:rsidR="00552719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;</w:t>
      </w:r>
    </w:p>
    <w:p w:rsidR="00296359" w:rsidRDefault="00296359" w:rsidP="00552719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552719">
        <w:rPr>
          <w:sz w:val="28"/>
          <w:szCs w:val="28"/>
          <w:lang w:eastAsia="en-US"/>
        </w:rPr>
        <w:t xml:space="preserve">показатель </w:t>
      </w:r>
      <w:r>
        <w:rPr>
          <w:sz w:val="28"/>
          <w:szCs w:val="28"/>
          <w:lang w:eastAsia="en-US"/>
        </w:rPr>
        <w:t>д</w:t>
      </w:r>
      <w:r w:rsidRPr="00650430">
        <w:rPr>
          <w:sz w:val="28"/>
          <w:szCs w:val="28"/>
          <w:lang w:eastAsia="en-US"/>
        </w:rPr>
        <w:t xml:space="preserve">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</w:t>
      </w:r>
      <w:r w:rsidRPr="00650430">
        <w:rPr>
          <w:sz w:val="28"/>
          <w:szCs w:val="28"/>
          <w:lang w:eastAsia="en-US"/>
        </w:rPr>
        <w:lastRenderedPageBreak/>
        <w:t>автомобильных дорог общег</w:t>
      </w:r>
      <w:r>
        <w:rPr>
          <w:sz w:val="28"/>
          <w:szCs w:val="28"/>
          <w:lang w:eastAsia="en-US"/>
        </w:rPr>
        <w:t xml:space="preserve">о пользования местного значения </w:t>
      </w:r>
      <w:r w:rsidR="00DA22CF">
        <w:rPr>
          <w:sz w:val="28"/>
          <w:szCs w:val="28"/>
          <w:lang w:eastAsia="en-US"/>
        </w:rPr>
        <w:t xml:space="preserve">увеличен на 0,675 % </w:t>
      </w:r>
      <w:r w:rsidR="00552719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составил 90,21</w:t>
      </w:r>
      <w:r w:rsidRPr="00650430">
        <w:rPr>
          <w:sz w:val="28"/>
          <w:szCs w:val="28"/>
          <w:lang w:eastAsia="en-US"/>
        </w:rPr>
        <w:t xml:space="preserve"> %</w:t>
      </w:r>
      <w:r w:rsidR="00552719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.</w:t>
      </w:r>
    </w:p>
    <w:p w:rsidR="004C7D34" w:rsidRDefault="001D254A" w:rsidP="009057D0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3.3. </w:t>
      </w:r>
      <w:r w:rsidR="009057D0" w:rsidRPr="006A03AF">
        <w:rPr>
          <w:sz w:val="28"/>
        </w:rPr>
        <w:t xml:space="preserve">В таблице </w:t>
      </w:r>
      <w:r w:rsidR="00136360">
        <w:rPr>
          <w:sz w:val="28"/>
        </w:rPr>
        <w:t xml:space="preserve">2 </w:t>
      </w:r>
      <w:r w:rsidR="009057D0" w:rsidRPr="006A03AF">
        <w:rPr>
          <w:sz w:val="28"/>
        </w:rPr>
        <w:t>«Перечень основных мероп</w:t>
      </w:r>
      <w:r w:rsidR="00D53FC9">
        <w:rPr>
          <w:sz w:val="28"/>
        </w:rPr>
        <w:t>риятий муниципальной программы»</w:t>
      </w:r>
      <w:r w:rsidR="004C7D34">
        <w:rPr>
          <w:sz w:val="28"/>
        </w:rPr>
        <w:t>:</w:t>
      </w:r>
    </w:p>
    <w:p w:rsidR="00EB5AB2" w:rsidRDefault="004C7D34" w:rsidP="009057D0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3.3.1. </w:t>
      </w:r>
      <w:r w:rsidR="001B245B">
        <w:rPr>
          <w:sz w:val="28"/>
          <w:szCs w:val="28"/>
          <w:lang w:eastAsia="en-US"/>
        </w:rPr>
        <w:t>По мероприятию 1.1 «</w:t>
      </w:r>
      <w:r w:rsidR="001B245B" w:rsidRPr="00650430">
        <w:rPr>
          <w:sz w:val="28"/>
          <w:szCs w:val="28"/>
          <w:lang w:eastAsia="en-US"/>
        </w:rPr>
        <w:t>Обеспечение доступности и повышение качества транспортных услуг автомобильным транспортом</w:t>
      </w:r>
      <w:r w:rsidR="001B245B">
        <w:rPr>
          <w:sz w:val="28"/>
          <w:szCs w:val="28"/>
          <w:lang w:eastAsia="en-US"/>
        </w:rPr>
        <w:t xml:space="preserve">» </w:t>
      </w:r>
      <w:r w:rsidR="00EB5AB2">
        <w:rPr>
          <w:sz w:val="28"/>
          <w:szCs w:val="28"/>
          <w:lang w:eastAsia="en-US"/>
        </w:rPr>
        <w:t>подпрограмм</w:t>
      </w:r>
      <w:r w:rsidR="001B245B">
        <w:rPr>
          <w:sz w:val="28"/>
          <w:szCs w:val="28"/>
          <w:lang w:eastAsia="en-US"/>
        </w:rPr>
        <w:t>ы</w:t>
      </w:r>
      <w:r w:rsidR="00EB5AB2">
        <w:rPr>
          <w:sz w:val="28"/>
          <w:szCs w:val="28"/>
          <w:lang w:eastAsia="en-US"/>
        </w:rPr>
        <w:t xml:space="preserve"> I «Транспорт» </w:t>
      </w:r>
      <w:r w:rsidR="001B245B">
        <w:rPr>
          <w:sz w:val="28"/>
          <w:szCs w:val="28"/>
          <w:lang w:eastAsia="en-US"/>
        </w:rPr>
        <w:t xml:space="preserve">планируется </w:t>
      </w:r>
      <w:r w:rsidR="00EB5AB2">
        <w:rPr>
          <w:sz w:val="28"/>
          <w:szCs w:val="28"/>
          <w:lang w:eastAsia="en-US"/>
        </w:rPr>
        <w:t>уменьш</w:t>
      </w:r>
      <w:r w:rsidR="001B245B">
        <w:rPr>
          <w:sz w:val="28"/>
          <w:szCs w:val="28"/>
          <w:lang w:eastAsia="en-US"/>
        </w:rPr>
        <w:t>ить</w:t>
      </w:r>
      <w:r w:rsidR="00EB5AB2">
        <w:rPr>
          <w:sz w:val="28"/>
          <w:szCs w:val="28"/>
          <w:lang w:eastAsia="en-US"/>
        </w:rPr>
        <w:t xml:space="preserve"> объём бюджетных ассигнований за счёт </w:t>
      </w:r>
      <w:r w:rsidR="00EB5AB2" w:rsidRPr="00650430">
        <w:rPr>
          <w:sz w:val="28"/>
          <w:szCs w:val="28"/>
          <w:lang w:eastAsia="en-US"/>
        </w:rPr>
        <w:t>средств</w:t>
      </w:r>
      <w:r w:rsidR="00EB5AB2">
        <w:rPr>
          <w:sz w:val="28"/>
          <w:szCs w:val="28"/>
          <w:lang w:eastAsia="en-US"/>
        </w:rPr>
        <w:t xml:space="preserve"> </w:t>
      </w:r>
      <w:r w:rsidR="00EB5AB2" w:rsidRPr="00650430">
        <w:rPr>
          <w:sz w:val="28"/>
          <w:szCs w:val="28"/>
          <w:lang w:eastAsia="en-US"/>
        </w:rPr>
        <w:t>местного бюджета</w:t>
      </w:r>
      <w:r w:rsidR="00EB5AB2">
        <w:rPr>
          <w:sz w:val="28"/>
          <w:szCs w:val="28"/>
          <w:lang w:eastAsia="en-US"/>
        </w:rPr>
        <w:t xml:space="preserve"> на 2022 год</w:t>
      </w:r>
      <w:r w:rsidR="001B245B">
        <w:rPr>
          <w:sz w:val="28"/>
          <w:szCs w:val="28"/>
          <w:lang w:eastAsia="en-US"/>
        </w:rPr>
        <w:t xml:space="preserve">, выделенных </w:t>
      </w:r>
      <w:r w:rsidR="00EB5AB2">
        <w:rPr>
          <w:sz w:val="28"/>
          <w:szCs w:val="28"/>
          <w:lang w:eastAsia="en-US"/>
        </w:rPr>
        <w:t xml:space="preserve">ответственному исполнителю - </w:t>
      </w:r>
      <w:r w:rsidR="00EB5AB2" w:rsidRPr="00650430">
        <w:rPr>
          <w:sz w:val="28"/>
          <w:szCs w:val="28"/>
          <w:lang w:eastAsia="en-US"/>
        </w:rPr>
        <w:t>департамент</w:t>
      </w:r>
      <w:r w:rsidR="00EB5AB2">
        <w:rPr>
          <w:sz w:val="28"/>
          <w:szCs w:val="28"/>
          <w:lang w:eastAsia="en-US"/>
        </w:rPr>
        <w:t>у</w:t>
      </w:r>
      <w:r w:rsidR="00EB5AB2" w:rsidRPr="00650430">
        <w:rPr>
          <w:sz w:val="28"/>
          <w:szCs w:val="28"/>
          <w:lang w:eastAsia="en-US"/>
        </w:rPr>
        <w:t xml:space="preserve"> жилищно-коммунального хозяйства администрации города Нефтеюганска</w:t>
      </w:r>
      <w:r w:rsidR="00EB5AB2" w:rsidRPr="00EB5AB2">
        <w:rPr>
          <w:sz w:val="28"/>
          <w:szCs w:val="28"/>
          <w:lang w:eastAsia="en-US"/>
        </w:rPr>
        <w:t xml:space="preserve"> </w:t>
      </w:r>
      <w:r w:rsidR="001B245B">
        <w:rPr>
          <w:sz w:val="28"/>
          <w:szCs w:val="28"/>
          <w:lang w:eastAsia="en-US"/>
        </w:rPr>
        <w:t xml:space="preserve">на осуществление </w:t>
      </w:r>
      <w:r w:rsidR="0015681A" w:rsidRPr="0015681A">
        <w:rPr>
          <w:sz w:val="28"/>
          <w:szCs w:val="28"/>
          <w:lang w:eastAsia="en-US"/>
        </w:rPr>
        <w:t>расходов по организации транспортного обслуживания населения, в том числе отдельным категориям граждан по бесплатному проезду в автомобильном транспорте общего пользования по городским маршрутам, проходящим в переделах границ города Нефтеюганска, в сумме 280</w:t>
      </w:r>
      <w:r w:rsidR="001B245B">
        <w:rPr>
          <w:sz w:val="28"/>
          <w:szCs w:val="28"/>
          <w:lang w:eastAsia="en-US"/>
        </w:rPr>
        <w:t> </w:t>
      </w:r>
      <w:r w:rsidR="0015681A" w:rsidRPr="0015681A">
        <w:rPr>
          <w:sz w:val="28"/>
          <w:szCs w:val="28"/>
          <w:lang w:eastAsia="en-US"/>
        </w:rPr>
        <w:t>299</w:t>
      </w:r>
      <w:r w:rsidR="001B245B">
        <w:rPr>
          <w:sz w:val="28"/>
          <w:szCs w:val="28"/>
          <w:lang w:eastAsia="en-US"/>
        </w:rPr>
        <w:t>,</w:t>
      </w:r>
      <w:r w:rsidR="0015681A" w:rsidRPr="0015681A">
        <w:rPr>
          <w:sz w:val="28"/>
          <w:szCs w:val="28"/>
          <w:lang w:eastAsia="en-US"/>
        </w:rPr>
        <w:t>200</w:t>
      </w:r>
      <w:r w:rsidR="001B245B">
        <w:rPr>
          <w:sz w:val="28"/>
          <w:szCs w:val="28"/>
          <w:lang w:eastAsia="en-US"/>
        </w:rPr>
        <w:t xml:space="preserve"> тыс.</w:t>
      </w:r>
      <w:r w:rsidR="0015681A" w:rsidRPr="0015681A">
        <w:rPr>
          <w:sz w:val="28"/>
          <w:szCs w:val="28"/>
          <w:lang w:eastAsia="en-US"/>
        </w:rPr>
        <w:t xml:space="preserve"> рубле</w:t>
      </w:r>
      <w:r w:rsidR="001B245B">
        <w:rPr>
          <w:sz w:val="28"/>
          <w:szCs w:val="28"/>
          <w:lang w:eastAsia="en-US"/>
        </w:rPr>
        <w:t>й.</w:t>
      </w:r>
    </w:p>
    <w:p w:rsidR="00EB5AB2" w:rsidRDefault="00EB5AB2" w:rsidP="00EB5AB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3.3.2. </w:t>
      </w:r>
      <w:r w:rsidR="001B245B">
        <w:rPr>
          <w:sz w:val="28"/>
        </w:rPr>
        <w:t>П</w:t>
      </w:r>
      <w:r w:rsidR="001B245B" w:rsidRPr="006A03AF">
        <w:rPr>
          <w:sz w:val="28"/>
        </w:rPr>
        <w:t xml:space="preserve">о мероприятию 2.1 «Строительство (реконструкция), капитальный ремонт и ремонт автомобильных дорог общего пользования местного значения» </w:t>
      </w:r>
      <w:r w:rsidRPr="006A03AF">
        <w:rPr>
          <w:sz w:val="28"/>
        </w:rPr>
        <w:t>подпрограмм</w:t>
      </w:r>
      <w:r w:rsidR="001B245B">
        <w:rPr>
          <w:sz w:val="28"/>
        </w:rPr>
        <w:t>ы</w:t>
      </w:r>
      <w:r w:rsidRPr="006A03AF">
        <w:rPr>
          <w:sz w:val="28"/>
        </w:rPr>
        <w:t xml:space="preserve"> </w:t>
      </w:r>
      <w:r w:rsidRPr="006A03AF">
        <w:rPr>
          <w:sz w:val="28"/>
          <w:lang w:val="en-US"/>
        </w:rPr>
        <w:t>II</w:t>
      </w:r>
      <w:r w:rsidRPr="006A03AF">
        <w:rPr>
          <w:sz w:val="28"/>
        </w:rPr>
        <w:t xml:space="preserve"> «Автомобильные дороги» ответственному исполнителю – департаменту жилищно-коммунального хозяйства администрации города Нефтеюганска</w:t>
      </w:r>
      <w:r>
        <w:rPr>
          <w:sz w:val="28"/>
        </w:rPr>
        <w:t xml:space="preserve"> </w:t>
      </w:r>
      <w:r w:rsidR="001B245B">
        <w:rPr>
          <w:sz w:val="28"/>
        </w:rPr>
        <w:t xml:space="preserve">планируется </w:t>
      </w:r>
      <w:r>
        <w:rPr>
          <w:sz w:val="28"/>
        </w:rPr>
        <w:t>у</w:t>
      </w:r>
      <w:r w:rsidRPr="00E268EF">
        <w:rPr>
          <w:sz w:val="28"/>
        </w:rPr>
        <w:t>вели</w:t>
      </w:r>
      <w:r>
        <w:rPr>
          <w:sz w:val="28"/>
        </w:rPr>
        <w:t>чить</w:t>
      </w:r>
      <w:r w:rsidRPr="00E268EF">
        <w:rPr>
          <w:sz w:val="28"/>
        </w:rPr>
        <w:t xml:space="preserve"> объ</w:t>
      </w:r>
      <w:r w:rsidR="001B245B">
        <w:rPr>
          <w:sz w:val="28"/>
        </w:rPr>
        <w:t>ё</w:t>
      </w:r>
      <w:r w:rsidRPr="00E268EF">
        <w:rPr>
          <w:sz w:val="28"/>
        </w:rPr>
        <w:t xml:space="preserve">м </w:t>
      </w:r>
      <w:r>
        <w:rPr>
          <w:sz w:val="28"/>
        </w:rPr>
        <w:t xml:space="preserve">бюджетных ассигнований </w:t>
      </w:r>
      <w:r w:rsidR="001B245B">
        <w:rPr>
          <w:sz w:val="28"/>
        </w:rPr>
        <w:t xml:space="preserve">на 2021 год </w:t>
      </w:r>
      <w:r>
        <w:rPr>
          <w:sz w:val="28"/>
        </w:rPr>
        <w:t>на ремонт автомобильных дорог в сумме 8 774,210 тыс. рублей, в том числе:</w:t>
      </w:r>
    </w:p>
    <w:p w:rsidR="00EB5AB2" w:rsidRDefault="00EB5AB2" w:rsidP="00EB5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ул. Р. Кузоваткина (от ул. Мамонтовская до ул. Нефтяников) в сумме 3 326 877 рублей;</w:t>
      </w:r>
    </w:p>
    <w:p w:rsidR="00EB5AB2" w:rsidRDefault="00EB5AB2" w:rsidP="00EB5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ул. Киевская (от ул. Нефтяников до ул. Парковая) в сумме 5 447 333 рубля.</w:t>
      </w:r>
    </w:p>
    <w:p w:rsidR="00EB5AB2" w:rsidRPr="00EB5AB2" w:rsidRDefault="0015681A" w:rsidP="00EB5AB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3.3.3. </w:t>
      </w:r>
      <w:r w:rsidR="001B245B">
        <w:rPr>
          <w:sz w:val="28"/>
        </w:rPr>
        <w:t>П</w:t>
      </w:r>
      <w:r w:rsidR="001B245B" w:rsidRPr="00EB5AB2">
        <w:rPr>
          <w:sz w:val="28"/>
        </w:rPr>
        <w:t>о мероприятию 2.2 «Обеспечение функционирования сети автомобильных дорог общего пользования местного значения»</w:t>
      </w:r>
      <w:r w:rsidR="001B245B">
        <w:rPr>
          <w:sz w:val="28"/>
        </w:rPr>
        <w:t xml:space="preserve"> </w:t>
      </w:r>
      <w:r w:rsidR="001B245B" w:rsidRPr="00EB5AB2">
        <w:rPr>
          <w:sz w:val="28"/>
        </w:rPr>
        <w:t>подпрограмм</w:t>
      </w:r>
      <w:r w:rsidR="001B245B">
        <w:rPr>
          <w:sz w:val="28"/>
        </w:rPr>
        <w:t>ы</w:t>
      </w:r>
      <w:r w:rsidR="001B245B" w:rsidRPr="00EB5AB2">
        <w:rPr>
          <w:sz w:val="28"/>
        </w:rPr>
        <w:t xml:space="preserve"> II «Автомобильные дороги» </w:t>
      </w:r>
      <w:r w:rsidR="001B245B">
        <w:rPr>
          <w:sz w:val="28"/>
        </w:rPr>
        <w:t>планируется уме</w:t>
      </w:r>
      <w:r w:rsidR="00EB5AB2" w:rsidRPr="00EB5AB2">
        <w:rPr>
          <w:sz w:val="28"/>
        </w:rPr>
        <w:t>ньш</w:t>
      </w:r>
      <w:r w:rsidR="00352220">
        <w:rPr>
          <w:sz w:val="28"/>
        </w:rPr>
        <w:t>ить</w:t>
      </w:r>
      <w:r w:rsidR="00EB5AB2" w:rsidRPr="00EB5AB2">
        <w:rPr>
          <w:sz w:val="28"/>
        </w:rPr>
        <w:t xml:space="preserve"> объ</w:t>
      </w:r>
      <w:r w:rsidR="001B245B">
        <w:rPr>
          <w:sz w:val="28"/>
        </w:rPr>
        <w:t>ё</w:t>
      </w:r>
      <w:r w:rsidR="00EB5AB2" w:rsidRPr="00EB5AB2">
        <w:rPr>
          <w:sz w:val="28"/>
        </w:rPr>
        <w:t xml:space="preserve">м </w:t>
      </w:r>
      <w:r w:rsidR="00352220">
        <w:rPr>
          <w:sz w:val="28"/>
        </w:rPr>
        <w:t>бюджетных ассигнований</w:t>
      </w:r>
      <w:r w:rsidR="00EB5AB2" w:rsidRPr="00EB5AB2">
        <w:rPr>
          <w:sz w:val="28"/>
        </w:rPr>
        <w:t xml:space="preserve"> </w:t>
      </w:r>
      <w:r w:rsidR="00352220">
        <w:rPr>
          <w:sz w:val="28"/>
        </w:rPr>
        <w:t>за счёт средств</w:t>
      </w:r>
      <w:r w:rsidR="00352220" w:rsidRPr="00EB5AB2">
        <w:rPr>
          <w:sz w:val="28"/>
        </w:rPr>
        <w:t xml:space="preserve"> местного бюджета </w:t>
      </w:r>
      <w:r w:rsidR="00352220">
        <w:rPr>
          <w:sz w:val="28"/>
        </w:rPr>
        <w:t xml:space="preserve">на </w:t>
      </w:r>
      <w:r w:rsidR="00EB5AB2" w:rsidRPr="00EB5AB2">
        <w:rPr>
          <w:sz w:val="28"/>
        </w:rPr>
        <w:t>2022 год</w:t>
      </w:r>
      <w:r w:rsidR="00352220">
        <w:rPr>
          <w:sz w:val="28"/>
        </w:rPr>
        <w:t>, выделенных</w:t>
      </w:r>
      <w:r w:rsidR="00EB5AB2" w:rsidRPr="00EB5AB2">
        <w:rPr>
          <w:sz w:val="28"/>
        </w:rPr>
        <w:t xml:space="preserve"> </w:t>
      </w:r>
      <w:r w:rsidR="00352220">
        <w:rPr>
          <w:sz w:val="28"/>
        </w:rPr>
        <w:t xml:space="preserve">ответственному исполнителю - </w:t>
      </w:r>
      <w:r w:rsidR="00EB5AB2" w:rsidRPr="00EB5AB2">
        <w:rPr>
          <w:sz w:val="28"/>
        </w:rPr>
        <w:t>департамент</w:t>
      </w:r>
      <w:r w:rsidR="00352220">
        <w:rPr>
          <w:sz w:val="28"/>
        </w:rPr>
        <w:t>у</w:t>
      </w:r>
      <w:r w:rsidR="00EB5AB2" w:rsidRPr="00EB5AB2">
        <w:rPr>
          <w:sz w:val="28"/>
        </w:rPr>
        <w:t xml:space="preserve"> жилищно-коммунального хозяйства администрации города Нефтеюганска</w:t>
      </w:r>
      <w:r w:rsidR="00352220">
        <w:rPr>
          <w:sz w:val="28"/>
        </w:rPr>
        <w:t xml:space="preserve"> на </w:t>
      </w:r>
      <w:r w:rsidRPr="0015681A">
        <w:rPr>
          <w:sz w:val="28"/>
        </w:rPr>
        <w:t xml:space="preserve">содержания </w:t>
      </w:r>
      <w:r w:rsidR="00352220">
        <w:rPr>
          <w:sz w:val="28"/>
        </w:rPr>
        <w:t xml:space="preserve">автомобильных </w:t>
      </w:r>
      <w:r w:rsidRPr="0015681A">
        <w:rPr>
          <w:sz w:val="28"/>
        </w:rPr>
        <w:t>дорог</w:t>
      </w:r>
      <w:r w:rsidR="00352220">
        <w:rPr>
          <w:sz w:val="28"/>
        </w:rPr>
        <w:t xml:space="preserve"> общего пользования</w:t>
      </w:r>
      <w:r w:rsidRPr="0015681A">
        <w:rPr>
          <w:sz w:val="28"/>
        </w:rPr>
        <w:t xml:space="preserve"> в сумме 110</w:t>
      </w:r>
      <w:r w:rsidR="00352220">
        <w:rPr>
          <w:sz w:val="28"/>
        </w:rPr>
        <w:t> </w:t>
      </w:r>
      <w:r w:rsidRPr="0015681A">
        <w:rPr>
          <w:sz w:val="28"/>
        </w:rPr>
        <w:t>000</w:t>
      </w:r>
      <w:r w:rsidR="00352220">
        <w:rPr>
          <w:sz w:val="28"/>
        </w:rPr>
        <w:t>,</w:t>
      </w:r>
      <w:r w:rsidRPr="0015681A">
        <w:rPr>
          <w:sz w:val="28"/>
        </w:rPr>
        <w:t xml:space="preserve">000 </w:t>
      </w:r>
      <w:r w:rsidR="00352220">
        <w:rPr>
          <w:sz w:val="28"/>
        </w:rPr>
        <w:t xml:space="preserve">тыс. </w:t>
      </w:r>
      <w:r w:rsidRPr="0015681A">
        <w:rPr>
          <w:sz w:val="28"/>
        </w:rPr>
        <w:t>рублей.</w:t>
      </w:r>
    </w:p>
    <w:p w:rsidR="00EB5AB2" w:rsidRPr="00EB5AB2" w:rsidRDefault="00EB5AB2" w:rsidP="00EB5AB2">
      <w:pPr>
        <w:tabs>
          <w:tab w:val="left" w:pos="0"/>
        </w:tabs>
        <w:jc w:val="both"/>
        <w:rPr>
          <w:sz w:val="28"/>
        </w:rPr>
      </w:pPr>
    </w:p>
    <w:p w:rsidR="00E268EF" w:rsidRDefault="00352220" w:rsidP="00352220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</w:rPr>
        <w:tab/>
        <w:t xml:space="preserve">Закрытие бюджетных ассигнований по основным мероприятиям 2.1, 2.2 обусловлено необходимостью </w:t>
      </w:r>
      <w:r w:rsidR="009B1F1E" w:rsidRPr="009B1F1E">
        <w:rPr>
          <w:sz w:val="28"/>
        </w:rPr>
        <w:t>обеспечения доли софинансирования на реализацию объекта «Фильтровальная станция производительностью 20 000 м3 в сутки по адресу: ХМАО-Югра</w:t>
      </w:r>
      <w:r w:rsidR="009B1F1E">
        <w:rPr>
          <w:sz w:val="28"/>
        </w:rPr>
        <w:t>, г. Нефтеюганск, 7 микрорайон».</w:t>
      </w:r>
    </w:p>
    <w:p w:rsidR="00E268EF" w:rsidRDefault="009B1F1E" w:rsidP="00EB5AB2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EB5AB2" w:rsidRPr="00EB5AB2">
        <w:rPr>
          <w:sz w:val="28"/>
          <w:szCs w:val="28"/>
          <w:lang w:eastAsia="en-US"/>
        </w:rPr>
        <w:t>ри поступлении средств из федерального и окружного бюджета на реализацию объекта «Фильтровальная станция производительностью 20 000 м3 в сутки по адресу: ХМАО-Югра, г. Нефтеюганск, 7 микрорайон»</w:t>
      </w:r>
      <w:r w:rsidR="004060A1">
        <w:rPr>
          <w:sz w:val="28"/>
          <w:szCs w:val="28"/>
          <w:lang w:eastAsia="en-US"/>
        </w:rPr>
        <w:t>,</w:t>
      </w:r>
      <w:r w:rsidR="00EB5AB2" w:rsidRPr="00EB5AB2">
        <w:rPr>
          <w:sz w:val="28"/>
          <w:szCs w:val="28"/>
          <w:lang w:eastAsia="en-US"/>
        </w:rPr>
        <w:t xml:space="preserve"> </w:t>
      </w:r>
      <w:r w:rsidR="004060A1">
        <w:rPr>
          <w:sz w:val="28"/>
          <w:szCs w:val="28"/>
          <w:lang w:eastAsia="en-US"/>
        </w:rPr>
        <w:t xml:space="preserve">рекомендуем </w:t>
      </w:r>
      <w:r w:rsidR="00EB5AB2" w:rsidRPr="00EB5AB2">
        <w:rPr>
          <w:sz w:val="28"/>
          <w:szCs w:val="28"/>
          <w:lang w:eastAsia="en-US"/>
        </w:rPr>
        <w:t xml:space="preserve">восстановить уменьшаемые бюджетные ассигнования средств местного бюджета.  </w:t>
      </w:r>
    </w:p>
    <w:p w:rsidR="006A03AF" w:rsidRPr="006A03AF" w:rsidRDefault="00E66BFE" w:rsidP="006A03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AF" w:rsidRPr="006A03AF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6A03AF" w:rsidRPr="006A03AF" w:rsidRDefault="00CB0EF6" w:rsidP="006A03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CA61DA" w:rsidRPr="00CA61DA" w:rsidRDefault="006A03AF" w:rsidP="00CA61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61DA" w:rsidRPr="00CA61DA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 с учётом рекомендаций, отраженных в настоящем заключении</w:t>
      </w:r>
      <w:r w:rsidR="00E357BC">
        <w:rPr>
          <w:sz w:val="28"/>
          <w:szCs w:val="28"/>
        </w:rPr>
        <w:t xml:space="preserve">. </w:t>
      </w:r>
      <w:r w:rsidR="00CA61DA" w:rsidRPr="00CA61DA">
        <w:rPr>
          <w:sz w:val="28"/>
          <w:szCs w:val="28"/>
        </w:rPr>
        <w:t>Информацию о решениях, принятых по результатам настоящей экспертизы, направи</w:t>
      </w:r>
      <w:r w:rsidR="00DF01B4">
        <w:rPr>
          <w:sz w:val="28"/>
          <w:szCs w:val="28"/>
        </w:rPr>
        <w:t>ть в адрес Счётной палаты до 08.10</w:t>
      </w:r>
      <w:r w:rsidR="00CA61DA" w:rsidRPr="00CA61DA">
        <w:rPr>
          <w:sz w:val="28"/>
          <w:szCs w:val="28"/>
        </w:rPr>
        <w:t xml:space="preserve">.2021 года. </w:t>
      </w:r>
    </w:p>
    <w:p w:rsidR="00CA61DA" w:rsidRPr="00CA61DA" w:rsidRDefault="00CA61DA" w:rsidP="00CA61DA">
      <w:pPr>
        <w:tabs>
          <w:tab w:val="left" w:pos="0"/>
        </w:tabs>
        <w:jc w:val="both"/>
        <w:rPr>
          <w:sz w:val="28"/>
          <w:szCs w:val="28"/>
        </w:rPr>
      </w:pPr>
    </w:p>
    <w:p w:rsidR="00026E95" w:rsidRPr="006A03AF" w:rsidRDefault="00026E95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6A03AF" w:rsidRDefault="006A03AF" w:rsidP="006A03AF">
      <w:pPr>
        <w:tabs>
          <w:tab w:val="left" w:pos="0"/>
        </w:tabs>
        <w:jc w:val="both"/>
        <w:rPr>
          <w:sz w:val="28"/>
          <w:szCs w:val="28"/>
        </w:rPr>
      </w:pPr>
      <w:r w:rsidRPr="006A03AF">
        <w:rPr>
          <w:sz w:val="28"/>
          <w:szCs w:val="28"/>
        </w:rPr>
        <w:t xml:space="preserve"> </w:t>
      </w:r>
    </w:p>
    <w:p w:rsidR="00E357BC" w:rsidRPr="006A03AF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6A03AF" w:rsidRPr="006A03AF" w:rsidRDefault="00F12513" w:rsidP="006A03A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A03AF" w:rsidRPr="006A03A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A03AF" w:rsidRPr="006A03AF">
        <w:rPr>
          <w:sz w:val="28"/>
          <w:szCs w:val="28"/>
        </w:rPr>
        <w:tab/>
      </w:r>
      <w:r w:rsidR="006A03AF" w:rsidRPr="006A03AF">
        <w:rPr>
          <w:sz w:val="28"/>
          <w:szCs w:val="28"/>
        </w:rPr>
        <w:tab/>
      </w:r>
      <w:r w:rsidR="006A03AF" w:rsidRPr="006A03AF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03AF" w:rsidRPr="006A03AF">
        <w:rPr>
          <w:sz w:val="28"/>
          <w:szCs w:val="28"/>
        </w:rPr>
        <w:tab/>
      </w:r>
      <w:r>
        <w:rPr>
          <w:sz w:val="28"/>
          <w:szCs w:val="28"/>
        </w:rPr>
        <w:t>С.А.</w:t>
      </w:r>
      <w:r w:rsidR="005A44E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Гичкина</w:t>
      </w:r>
    </w:p>
    <w:p w:rsidR="006A03AF" w:rsidRDefault="006A03AF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D96F4B" w:rsidRDefault="00D96F4B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D96F4B" w:rsidRDefault="00D96F4B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D96F4B" w:rsidRDefault="00D96F4B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D96F4B" w:rsidRDefault="00D96F4B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D96F4B" w:rsidRDefault="00D96F4B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D96F4B" w:rsidRPr="006A03AF" w:rsidRDefault="00D96F4B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6A03AF" w:rsidRPr="006A03AF" w:rsidRDefault="006A03AF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6A03AF" w:rsidRDefault="006A03AF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E357BC" w:rsidRDefault="00E357BC" w:rsidP="006A03AF">
      <w:pPr>
        <w:tabs>
          <w:tab w:val="left" w:pos="0"/>
        </w:tabs>
        <w:jc w:val="both"/>
        <w:rPr>
          <w:sz w:val="28"/>
          <w:szCs w:val="28"/>
        </w:rPr>
      </w:pPr>
    </w:p>
    <w:p w:rsidR="006A03AF" w:rsidRPr="00CB0EF6" w:rsidRDefault="006A03AF" w:rsidP="006A03AF">
      <w:pPr>
        <w:tabs>
          <w:tab w:val="left" w:pos="0"/>
        </w:tabs>
        <w:jc w:val="both"/>
        <w:rPr>
          <w:sz w:val="16"/>
          <w:szCs w:val="16"/>
        </w:rPr>
      </w:pPr>
      <w:r w:rsidRPr="00CB0EF6">
        <w:rPr>
          <w:sz w:val="16"/>
          <w:szCs w:val="16"/>
        </w:rPr>
        <w:t>Исполнитель:</w:t>
      </w:r>
    </w:p>
    <w:p w:rsidR="006A03AF" w:rsidRPr="00CB0EF6" w:rsidRDefault="00803042" w:rsidP="006A03AF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6A03AF" w:rsidRPr="00CB0EF6">
        <w:rPr>
          <w:sz w:val="16"/>
          <w:szCs w:val="16"/>
        </w:rPr>
        <w:t xml:space="preserve"> инспекторского отдела № 2</w:t>
      </w:r>
    </w:p>
    <w:p w:rsidR="006A03AF" w:rsidRPr="00CB0EF6" w:rsidRDefault="006A03AF" w:rsidP="006A03AF">
      <w:pPr>
        <w:tabs>
          <w:tab w:val="left" w:pos="0"/>
        </w:tabs>
        <w:jc w:val="both"/>
        <w:rPr>
          <w:sz w:val="16"/>
          <w:szCs w:val="16"/>
        </w:rPr>
      </w:pPr>
      <w:r w:rsidRPr="00CB0EF6">
        <w:rPr>
          <w:sz w:val="16"/>
          <w:szCs w:val="16"/>
        </w:rPr>
        <w:t>Счётной палаты города Нефтеюганска</w:t>
      </w:r>
    </w:p>
    <w:p w:rsidR="006A03AF" w:rsidRPr="00CB0EF6" w:rsidRDefault="00803042" w:rsidP="006A03AF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Салахова Дина Ирековна</w:t>
      </w:r>
    </w:p>
    <w:p w:rsidR="00524547" w:rsidRPr="00CB0EF6" w:rsidRDefault="006A03AF" w:rsidP="006A03AF">
      <w:pPr>
        <w:tabs>
          <w:tab w:val="left" w:pos="0"/>
        </w:tabs>
        <w:jc w:val="both"/>
        <w:rPr>
          <w:sz w:val="16"/>
          <w:szCs w:val="16"/>
        </w:rPr>
      </w:pPr>
      <w:r w:rsidRPr="00CB0EF6">
        <w:rPr>
          <w:sz w:val="16"/>
          <w:szCs w:val="16"/>
        </w:rPr>
        <w:t>Тел. 8(3463)20</w:t>
      </w:r>
      <w:r w:rsidR="00803042">
        <w:rPr>
          <w:sz w:val="16"/>
          <w:szCs w:val="16"/>
        </w:rPr>
        <w:t>3065</w:t>
      </w:r>
    </w:p>
    <w:p w:rsidR="00524547" w:rsidRPr="00CB0EF6" w:rsidRDefault="00524547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EB67C5" w:rsidRDefault="00EB67C5" w:rsidP="00CA65E9">
      <w:pPr>
        <w:tabs>
          <w:tab w:val="left" w:pos="0"/>
        </w:tabs>
        <w:jc w:val="both"/>
        <w:rPr>
          <w:sz w:val="18"/>
          <w:szCs w:val="18"/>
        </w:rPr>
      </w:pPr>
    </w:p>
    <w:sectPr w:rsidR="00EB67C5" w:rsidSect="00CB0EF6">
      <w:headerReference w:type="default" r:id="rId11"/>
      <w:pgSz w:w="11906" w:h="16838"/>
      <w:pgMar w:top="1134" w:right="567" w:bottom="1134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019" w:rsidRDefault="000B6019">
      <w:r>
        <w:separator/>
      </w:r>
    </w:p>
  </w:endnote>
  <w:endnote w:type="continuationSeparator" w:id="0">
    <w:p w:rsidR="000B6019" w:rsidRDefault="000B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019" w:rsidRDefault="000B6019">
      <w:r>
        <w:separator/>
      </w:r>
    </w:p>
  </w:footnote>
  <w:footnote w:type="continuationSeparator" w:id="0">
    <w:p w:rsidR="000B6019" w:rsidRDefault="000B6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A44E5">
      <w:rPr>
        <w:noProof/>
      </w:rPr>
      <w:t>3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EA870A8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9170D70"/>
    <w:multiLevelType w:val="hybridMultilevel"/>
    <w:tmpl w:val="7EB6A4F0"/>
    <w:lvl w:ilvl="0" w:tplc="DE9EFFC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67221"/>
    <w:multiLevelType w:val="hybridMultilevel"/>
    <w:tmpl w:val="2D36CBB6"/>
    <w:lvl w:ilvl="0" w:tplc="08C6E462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1FE"/>
    <w:rsid w:val="00003A4B"/>
    <w:rsid w:val="00003E2B"/>
    <w:rsid w:val="00007B7E"/>
    <w:rsid w:val="000137C9"/>
    <w:rsid w:val="00026E95"/>
    <w:rsid w:val="00027CAB"/>
    <w:rsid w:val="00030449"/>
    <w:rsid w:val="000420F5"/>
    <w:rsid w:val="00056C77"/>
    <w:rsid w:val="00065DB0"/>
    <w:rsid w:val="00066861"/>
    <w:rsid w:val="00066F66"/>
    <w:rsid w:val="00070147"/>
    <w:rsid w:val="00070B60"/>
    <w:rsid w:val="00072281"/>
    <w:rsid w:val="00076F0C"/>
    <w:rsid w:val="0007741E"/>
    <w:rsid w:val="0008179F"/>
    <w:rsid w:val="00085ACA"/>
    <w:rsid w:val="00092816"/>
    <w:rsid w:val="000930F0"/>
    <w:rsid w:val="00096F93"/>
    <w:rsid w:val="000B1753"/>
    <w:rsid w:val="000B28C7"/>
    <w:rsid w:val="000B6019"/>
    <w:rsid w:val="000B6EA1"/>
    <w:rsid w:val="000F2A68"/>
    <w:rsid w:val="000F785A"/>
    <w:rsid w:val="00103231"/>
    <w:rsid w:val="001058DF"/>
    <w:rsid w:val="00110F3B"/>
    <w:rsid w:val="00121877"/>
    <w:rsid w:val="00122682"/>
    <w:rsid w:val="00123B08"/>
    <w:rsid w:val="00136360"/>
    <w:rsid w:val="00144687"/>
    <w:rsid w:val="0015681A"/>
    <w:rsid w:val="0016295D"/>
    <w:rsid w:val="001662BE"/>
    <w:rsid w:val="00170E83"/>
    <w:rsid w:val="00172A27"/>
    <w:rsid w:val="00183182"/>
    <w:rsid w:val="00193799"/>
    <w:rsid w:val="001954B5"/>
    <w:rsid w:val="00196B3E"/>
    <w:rsid w:val="001B245B"/>
    <w:rsid w:val="001C22C8"/>
    <w:rsid w:val="001C2A34"/>
    <w:rsid w:val="001C7841"/>
    <w:rsid w:val="001D0540"/>
    <w:rsid w:val="001D254A"/>
    <w:rsid w:val="001E65F9"/>
    <w:rsid w:val="001E698C"/>
    <w:rsid w:val="001E7B98"/>
    <w:rsid w:val="00201BFA"/>
    <w:rsid w:val="00203594"/>
    <w:rsid w:val="002103E5"/>
    <w:rsid w:val="00212481"/>
    <w:rsid w:val="00222019"/>
    <w:rsid w:val="00223E2C"/>
    <w:rsid w:val="00226BB4"/>
    <w:rsid w:val="0024243F"/>
    <w:rsid w:val="002424D6"/>
    <w:rsid w:val="00252CD8"/>
    <w:rsid w:val="00256200"/>
    <w:rsid w:val="00283AAA"/>
    <w:rsid w:val="00287B46"/>
    <w:rsid w:val="00296359"/>
    <w:rsid w:val="002A6BA7"/>
    <w:rsid w:val="002B2961"/>
    <w:rsid w:val="002E7C95"/>
    <w:rsid w:val="002F1370"/>
    <w:rsid w:val="003061D5"/>
    <w:rsid w:val="00316CD7"/>
    <w:rsid w:val="00352220"/>
    <w:rsid w:val="003930D1"/>
    <w:rsid w:val="003949FB"/>
    <w:rsid w:val="003B302E"/>
    <w:rsid w:val="003C0183"/>
    <w:rsid w:val="003C17B7"/>
    <w:rsid w:val="003D651A"/>
    <w:rsid w:val="003D740A"/>
    <w:rsid w:val="003E0CE7"/>
    <w:rsid w:val="003E174D"/>
    <w:rsid w:val="003F0EA9"/>
    <w:rsid w:val="004060A1"/>
    <w:rsid w:val="00413F39"/>
    <w:rsid w:val="004204CA"/>
    <w:rsid w:val="00432851"/>
    <w:rsid w:val="004408BA"/>
    <w:rsid w:val="00444FCC"/>
    <w:rsid w:val="004501C8"/>
    <w:rsid w:val="0045695C"/>
    <w:rsid w:val="00474814"/>
    <w:rsid w:val="00480323"/>
    <w:rsid w:val="00485D18"/>
    <w:rsid w:val="00486142"/>
    <w:rsid w:val="00486C6D"/>
    <w:rsid w:val="00496F34"/>
    <w:rsid w:val="00497577"/>
    <w:rsid w:val="004A246E"/>
    <w:rsid w:val="004A3C04"/>
    <w:rsid w:val="004A574E"/>
    <w:rsid w:val="004B193B"/>
    <w:rsid w:val="004C5004"/>
    <w:rsid w:val="004C6747"/>
    <w:rsid w:val="004C7A37"/>
    <w:rsid w:val="004C7D34"/>
    <w:rsid w:val="004D42CA"/>
    <w:rsid w:val="004E46E8"/>
    <w:rsid w:val="004E7E6B"/>
    <w:rsid w:val="00500D59"/>
    <w:rsid w:val="00500EAA"/>
    <w:rsid w:val="0050387F"/>
    <w:rsid w:val="00505468"/>
    <w:rsid w:val="005101EE"/>
    <w:rsid w:val="0051263C"/>
    <w:rsid w:val="00524547"/>
    <w:rsid w:val="00535E63"/>
    <w:rsid w:val="00552719"/>
    <w:rsid w:val="005604E3"/>
    <w:rsid w:val="00563D7B"/>
    <w:rsid w:val="00575A5B"/>
    <w:rsid w:val="005A44E5"/>
    <w:rsid w:val="005B78C9"/>
    <w:rsid w:val="005C2771"/>
    <w:rsid w:val="005C4707"/>
    <w:rsid w:val="005F034F"/>
    <w:rsid w:val="0060588F"/>
    <w:rsid w:val="00612EBE"/>
    <w:rsid w:val="006157D4"/>
    <w:rsid w:val="00617865"/>
    <w:rsid w:val="00620414"/>
    <w:rsid w:val="00624211"/>
    <w:rsid w:val="006333D6"/>
    <w:rsid w:val="006437EB"/>
    <w:rsid w:val="00652879"/>
    <w:rsid w:val="0065487C"/>
    <w:rsid w:val="0066484E"/>
    <w:rsid w:val="00665511"/>
    <w:rsid w:val="00671B5A"/>
    <w:rsid w:val="00677C70"/>
    <w:rsid w:val="006845B0"/>
    <w:rsid w:val="006A03AF"/>
    <w:rsid w:val="006A5D0B"/>
    <w:rsid w:val="006A743D"/>
    <w:rsid w:val="006B0E10"/>
    <w:rsid w:val="006B7C59"/>
    <w:rsid w:val="006C1D23"/>
    <w:rsid w:val="006C2EA3"/>
    <w:rsid w:val="006C3E5D"/>
    <w:rsid w:val="006E6F82"/>
    <w:rsid w:val="006F3ABC"/>
    <w:rsid w:val="00712296"/>
    <w:rsid w:val="00713A14"/>
    <w:rsid w:val="007149BD"/>
    <w:rsid w:val="007152B6"/>
    <w:rsid w:val="00724599"/>
    <w:rsid w:val="00731DFA"/>
    <w:rsid w:val="00733098"/>
    <w:rsid w:val="00736C4E"/>
    <w:rsid w:val="00746F22"/>
    <w:rsid w:val="0075602B"/>
    <w:rsid w:val="00770E6D"/>
    <w:rsid w:val="0077302C"/>
    <w:rsid w:val="0078120F"/>
    <w:rsid w:val="007856DF"/>
    <w:rsid w:val="00795456"/>
    <w:rsid w:val="00795DB7"/>
    <w:rsid w:val="00796984"/>
    <w:rsid w:val="007A0EDB"/>
    <w:rsid w:val="007A65FB"/>
    <w:rsid w:val="007A7454"/>
    <w:rsid w:val="007E16B0"/>
    <w:rsid w:val="007E295B"/>
    <w:rsid w:val="00800902"/>
    <w:rsid w:val="00803042"/>
    <w:rsid w:val="00805E3E"/>
    <w:rsid w:val="00811A5F"/>
    <w:rsid w:val="00815756"/>
    <w:rsid w:val="0083744F"/>
    <w:rsid w:val="0084203D"/>
    <w:rsid w:val="00842DFF"/>
    <w:rsid w:val="00860A3E"/>
    <w:rsid w:val="00867DB7"/>
    <w:rsid w:val="00881315"/>
    <w:rsid w:val="00884036"/>
    <w:rsid w:val="0088731E"/>
    <w:rsid w:val="008A4881"/>
    <w:rsid w:val="008A716A"/>
    <w:rsid w:val="008B4180"/>
    <w:rsid w:val="008C429A"/>
    <w:rsid w:val="008D076E"/>
    <w:rsid w:val="008D1947"/>
    <w:rsid w:val="008D44D1"/>
    <w:rsid w:val="008D72B4"/>
    <w:rsid w:val="009057D0"/>
    <w:rsid w:val="0092414C"/>
    <w:rsid w:val="00933370"/>
    <w:rsid w:val="009337A7"/>
    <w:rsid w:val="00941ED8"/>
    <w:rsid w:val="00943AAE"/>
    <w:rsid w:val="00943DE3"/>
    <w:rsid w:val="00974832"/>
    <w:rsid w:val="00977E29"/>
    <w:rsid w:val="0098097A"/>
    <w:rsid w:val="009830A8"/>
    <w:rsid w:val="009870AC"/>
    <w:rsid w:val="009B0C26"/>
    <w:rsid w:val="009B1F1E"/>
    <w:rsid w:val="009B224B"/>
    <w:rsid w:val="009C083F"/>
    <w:rsid w:val="009C79EB"/>
    <w:rsid w:val="009D0C77"/>
    <w:rsid w:val="009D6DEC"/>
    <w:rsid w:val="009F38B0"/>
    <w:rsid w:val="009F38D0"/>
    <w:rsid w:val="009F6F1F"/>
    <w:rsid w:val="00A00A94"/>
    <w:rsid w:val="00A00C9F"/>
    <w:rsid w:val="00A12354"/>
    <w:rsid w:val="00A14A65"/>
    <w:rsid w:val="00A23A43"/>
    <w:rsid w:val="00A246F8"/>
    <w:rsid w:val="00A35EC6"/>
    <w:rsid w:val="00A405D5"/>
    <w:rsid w:val="00A503DA"/>
    <w:rsid w:val="00A559BA"/>
    <w:rsid w:val="00A56767"/>
    <w:rsid w:val="00A62F47"/>
    <w:rsid w:val="00A67FD6"/>
    <w:rsid w:val="00A74004"/>
    <w:rsid w:val="00A96FFA"/>
    <w:rsid w:val="00AD119B"/>
    <w:rsid w:val="00AD192C"/>
    <w:rsid w:val="00AE1307"/>
    <w:rsid w:val="00AE5A6F"/>
    <w:rsid w:val="00B04713"/>
    <w:rsid w:val="00B136E8"/>
    <w:rsid w:val="00B301EC"/>
    <w:rsid w:val="00B335BC"/>
    <w:rsid w:val="00B37174"/>
    <w:rsid w:val="00B41E13"/>
    <w:rsid w:val="00B46068"/>
    <w:rsid w:val="00B52D40"/>
    <w:rsid w:val="00B607BD"/>
    <w:rsid w:val="00B70429"/>
    <w:rsid w:val="00B86E68"/>
    <w:rsid w:val="00B92CDE"/>
    <w:rsid w:val="00B97709"/>
    <w:rsid w:val="00BB6FCD"/>
    <w:rsid w:val="00BB7309"/>
    <w:rsid w:val="00BE5BFA"/>
    <w:rsid w:val="00BF4A05"/>
    <w:rsid w:val="00C0267E"/>
    <w:rsid w:val="00C06EA4"/>
    <w:rsid w:val="00C17EA5"/>
    <w:rsid w:val="00C2578B"/>
    <w:rsid w:val="00C3523D"/>
    <w:rsid w:val="00C43297"/>
    <w:rsid w:val="00C47B1F"/>
    <w:rsid w:val="00C50E92"/>
    <w:rsid w:val="00C64C02"/>
    <w:rsid w:val="00C669C2"/>
    <w:rsid w:val="00C75A87"/>
    <w:rsid w:val="00C87277"/>
    <w:rsid w:val="00C90D85"/>
    <w:rsid w:val="00C9430A"/>
    <w:rsid w:val="00CA61DA"/>
    <w:rsid w:val="00CA65E9"/>
    <w:rsid w:val="00CB0EF6"/>
    <w:rsid w:val="00CC020E"/>
    <w:rsid w:val="00CC35AA"/>
    <w:rsid w:val="00CC7532"/>
    <w:rsid w:val="00CE0DD9"/>
    <w:rsid w:val="00CE5290"/>
    <w:rsid w:val="00D035AE"/>
    <w:rsid w:val="00D122FF"/>
    <w:rsid w:val="00D13CC2"/>
    <w:rsid w:val="00D15AFC"/>
    <w:rsid w:val="00D22D2F"/>
    <w:rsid w:val="00D35739"/>
    <w:rsid w:val="00D358D2"/>
    <w:rsid w:val="00D53FC9"/>
    <w:rsid w:val="00D55BF1"/>
    <w:rsid w:val="00D5688A"/>
    <w:rsid w:val="00D62579"/>
    <w:rsid w:val="00D81D78"/>
    <w:rsid w:val="00D84970"/>
    <w:rsid w:val="00D85FBA"/>
    <w:rsid w:val="00D96F4B"/>
    <w:rsid w:val="00DA22CF"/>
    <w:rsid w:val="00DD1239"/>
    <w:rsid w:val="00DD3916"/>
    <w:rsid w:val="00DD4C0E"/>
    <w:rsid w:val="00DE1EC5"/>
    <w:rsid w:val="00DE56E8"/>
    <w:rsid w:val="00DE575A"/>
    <w:rsid w:val="00DF01B4"/>
    <w:rsid w:val="00DF6096"/>
    <w:rsid w:val="00E268EF"/>
    <w:rsid w:val="00E27939"/>
    <w:rsid w:val="00E357BC"/>
    <w:rsid w:val="00E35E18"/>
    <w:rsid w:val="00E37541"/>
    <w:rsid w:val="00E4311F"/>
    <w:rsid w:val="00E4593E"/>
    <w:rsid w:val="00E500CA"/>
    <w:rsid w:val="00E54581"/>
    <w:rsid w:val="00E55455"/>
    <w:rsid w:val="00E66BFE"/>
    <w:rsid w:val="00E738A8"/>
    <w:rsid w:val="00E8489B"/>
    <w:rsid w:val="00E9073F"/>
    <w:rsid w:val="00EA2090"/>
    <w:rsid w:val="00EA6039"/>
    <w:rsid w:val="00EA65EA"/>
    <w:rsid w:val="00EB0E37"/>
    <w:rsid w:val="00EB5AB2"/>
    <w:rsid w:val="00EB67C5"/>
    <w:rsid w:val="00ED48AC"/>
    <w:rsid w:val="00ED4E1B"/>
    <w:rsid w:val="00EE080A"/>
    <w:rsid w:val="00EF5DD7"/>
    <w:rsid w:val="00F00446"/>
    <w:rsid w:val="00F006B4"/>
    <w:rsid w:val="00F03021"/>
    <w:rsid w:val="00F12513"/>
    <w:rsid w:val="00F334FF"/>
    <w:rsid w:val="00F33E06"/>
    <w:rsid w:val="00F51E47"/>
    <w:rsid w:val="00F550EF"/>
    <w:rsid w:val="00F6183A"/>
    <w:rsid w:val="00F77F6C"/>
    <w:rsid w:val="00F931B0"/>
    <w:rsid w:val="00FA1B81"/>
    <w:rsid w:val="00FA73CF"/>
    <w:rsid w:val="00FC1D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01A7"/>
  <w15:docId w15:val="{E8F18EF9-4251-42B3-A2A3-0E098AC5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112</cp:revision>
  <cp:lastPrinted>2021-09-27T10:43:00Z</cp:lastPrinted>
  <dcterms:created xsi:type="dcterms:W3CDTF">2020-11-26T11:30:00Z</dcterms:created>
  <dcterms:modified xsi:type="dcterms:W3CDTF">2021-11-29T13:26:00Z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