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1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2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547EB1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BD43D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4269"/>
        <w:gridCol w:w="4956"/>
      </w:tblGrid>
      <w:tr w:rsidR="00273688" w:rsidTr="00CB6BB9">
        <w:trPr>
          <w:trHeight w:val="566"/>
        </w:trPr>
        <w:tc>
          <w:tcPr>
            <w:tcW w:w="4269" w:type="dxa"/>
          </w:tcPr>
          <w:p w:rsidR="00273688" w:rsidRPr="0029372E" w:rsidRDefault="00AA6DF1" w:rsidP="006F13F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 </w:t>
            </w:r>
            <w:r w:rsidR="006F13F6">
              <w:rPr>
                <w:sz w:val="28"/>
              </w:rPr>
              <w:t>260-1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D242D6" w:rsidRPr="00AA6DF1">
              <w:rPr>
                <w:sz w:val="28"/>
              </w:rPr>
              <w:t xml:space="preserve"> от </w:t>
            </w:r>
            <w:r w:rsidR="00B36107" w:rsidRPr="00AA6DF1">
              <w:rPr>
                <w:sz w:val="28"/>
              </w:rPr>
              <w:t>24</w:t>
            </w:r>
            <w:r w:rsidR="00D242D6" w:rsidRPr="00AA6DF1">
              <w:rPr>
                <w:sz w:val="28"/>
              </w:rPr>
              <w:t>.0</w:t>
            </w:r>
            <w:r w:rsidR="00D72CEA" w:rsidRPr="00AA6DF1">
              <w:rPr>
                <w:sz w:val="28"/>
              </w:rPr>
              <w:t>6</w:t>
            </w:r>
            <w:r w:rsidR="00D242D6" w:rsidRPr="00AA6DF1">
              <w:rPr>
                <w:sz w:val="28"/>
              </w:rPr>
              <w:t>.2021</w:t>
            </w:r>
          </w:p>
        </w:tc>
        <w:tc>
          <w:tcPr>
            <w:tcW w:w="4956" w:type="dxa"/>
          </w:tcPr>
          <w:p w:rsidR="000443C1" w:rsidRDefault="000443C1" w:rsidP="00CB6BB9">
            <w:pPr>
              <w:ind w:left="208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AD12C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F7A48" w:rsidRDefault="00076482" w:rsidP="00AD12C5">
      <w:pPr>
        <w:tabs>
          <w:tab w:val="left" w:pos="0"/>
        </w:tabs>
        <w:ind w:firstLine="851"/>
        <w:jc w:val="both"/>
        <w:rPr>
          <w:sz w:val="28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</w:t>
      </w:r>
      <w:r w:rsidR="006F7A48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44D55">
        <w:rPr>
          <w:sz w:val="28"/>
        </w:rPr>
        <w:t>Проектом изменений планируется</w:t>
      </w:r>
      <w:r w:rsidR="006F7A48">
        <w:rPr>
          <w:sz w:val="28"/>
        </w:rPr>
        <w:t>:</w:t>
      </w:r>
    </w:p>
    <w:p w:rsidR="00951FE3" w:rsidRPr="002C0D8E" w:rsidRDefault="00E63F7E" w:rsidP="002C0D8E">
      <w:pPr>
        <w:widowControl w:val="0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7B5C0E" w:rsidRPr="00084CB3">
        <w:rPr>
          <w:sz w:val="28"/>
          <w:szCs w:val="28"/>
        </w:rPr>
        <w:t xml:space="preserve">В паспорте </w:t>
      </w:r>
      <w:r w:rsidR="007B5C0E">
        <w:rPr>
          <w:sz w:val="28"/>
          <w:szCs w:val="28"/>
        </w:rPr>
        <w:t xml:space="preserve">муниципальной программы </w:t>
      </w:r>
      <w:r w:rsidR="002C0D8E">
        <w:rPr>
          <w:sz w:val="28"/>
          <w:szCs w:val="28"/>
        </w:rPr>
        <w:t>с</w:t>
      </w:r>
      <w:r w:rsidR="00D55626">
        <w:rPr>
          <w:sz w:val="28"/>
          <w:szCs w:val="28"/>
        </w:rPr>
        <w:t xml:space="preserve">троку </w:t>
      </w:r>
      <w:r w:rsidR="007B5C0E" w:rsidRPr="00084CB3">
        <w:rPr>
          <w:sz w:val="28"/>
          <w:szCs w:val="28"/>
        </w:rPr>
        <w:t>«Параметры финансового обеспечения муниципальной программы» изло</w:t>
      </w:r>
      <w:r w:rsidR="007B5C0E">
        <w:rPr>
          <w:sz w:val="28"/>
          <w:szCs w:val="28"/>
        </w:rPr>
        <w:t xml:space="preserve">жить в новой редакции, </w:t>
      </w:r>
      <w:r w:rsidR="0051343C" w:rsidRPr="0051343C">
        <w:rPr>
          <w:rFonts w:eastAsia="Times New Roman" w:cs="Times New Roman"/>
          <w:color w:val="auto"/>
          <w:sz w:val="28"/>
          <w:szCs w:val="24"/>
        </w:rPr>
        <w:t>а именно</w:t>
      </w:r>
      <w:r w:rsidR="002C0D8E">
        <w:rPr>
          <w:rFonts w:eastAsia="Times New Roman" w:cs="Times New Roman"/>
          <w:color w:val="auto"/>
          <w:sz w:val="28"/>
          <w:szCs w:val="24"/>
        </w:rPr>
        <w:t>,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971CB">
        <w:rPr>
          <w:rFonts w:eastAsia="Times New Roman" w:cs="Times New Roman"/>
          <w:color w:val="auto"/>
          <w:sz w:val="28"/>
          <w:szCs w:val="28"/>
        </w:rPr>
        <w:t>уменьш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>ить</w:t>
      </w:r>
      <w:r w:rsidR="007B5C0E">
        <w:rPr>
          <w:sz w:val="28"/>
          <w:szCs w:val="28"/>
        </w:rPr>
        <w:t xml:space="preserve"> </w:t>
      </w:r>
      <w:r w:rsidR="002C0D8E">
        <w:rPr>
          <w:sz w:val="28"/>
          <w:szCs w:val="28"/>
        </w:rPr>
        <w:t xml:space="preserve">в 2021 году </w:t>
      </w:r>
      <w:r w:rsidR="007B5C0E" w:rsidRPr="00084CB3">
        <w:rPr>
          <w:sz w:val="28"/>
          <w:szCs w:val="28"/>
        </w:rPr>
        <w:t xml:space="preserve">общий объём финансирования на </w:t>
      </w:r>
      <w:r w:rsidR="006971CB">
        <w:rPr>
          <w:sz w:val="28"/>
          <w:szCs w:val="28"/>
        </w:rPr>
        <w:t xml:space="preserve">сумму </w:t>
      </w:r>
      <w:r w:rsidR="002C0D8E">
        <w:rPr>
          <w:sz w:val="28"/>
          <w:szCs w:val="28"/>
        </w:rPr>
        <w:t>1 439,048</w:t>
      </w:r>
      <w:r w:rsidR="007B5C0E" w:rsidRPr="00E63F7E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>тыс. рублей</w:t>
      </w:r>
      <w:r w:rsidR="002C0D8E">
        <w:rPr>
          <w:sz w:val="28"/>
          <w:szCs w:val="28"/>
        </w:rPr>
        <w:t>.</w:t>
      </w:r>
    </w:p>
    <w:p w:rsidR="00F8267A" w:rsidRDefault="00B57381" w:rsidP="00F8267A">
      <w:pPr>
        <w:pStyle w:val="aa"/>
        <w:tabs>
          <w:tab w:val="left" w:pos="0"/>
        </w:tabs>
        <w:ind w:left="0" w:firstLine="709"/>
        <w:jc w:val="both"/>
        <w:rPr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3.</w:t>
      </w:r>
      <w:r w:rsidR="00FD5389">
        <w:rPr>
          <w:rFonts w:eastAsia="Times New Roman" w:cs="Times New Roman"/>
          <w:color w:val="auto"/>
          <w:sz w:val="28"/>
          <w:szCs w:val="28"/>
        </w:rPr>
        <w:t>2</w:t>
      </w:r>
      <w:r w:rsidR="00D4082C" w:rsidRPr="00FA2582">
        <w:rPr>
          <w:rFonts w:eastAsia="Times New Roman" w:cs="Times New Roman"/>
          <w:color w:val="auto"/>
          <w:sz w:val="28"/>
          <w:szCs w:val="28"/>
        </w:rPr>
        <w:t>.</w:t>
      </w:r>
      <w:r w:rsidR="007C42C4" w:rsidRPr="00FA258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8267A">
        <w:rPr>
          <w:color w:val="auto"/>
          <w:sz w:val="28"/>
        </w:rPr>
        <w:t>В таблице 2 «Перечень основных мероприятий муниципальной программы»:</w:t>
      </w:r>
    </w:p>
    <w:p w:rsidR="007344C3" w:rsidRDefault="00862288" w:rsidP="002C0D8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</w:t>
      </w:r>
      <w:r w:rsidR="004C1B96" w:rsidRPr="008D6A22"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.</w:t>
      </w:r>
      <w:r w:rsidR="004C1B96" w:rsidRPr="008D6A22">
        <w:rPr>
          <w:rFonts w:eastAsia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auto"/>
          <w:sz w:val="28"/>
          <w:szCs w:val="28"/>
        </w:rPr>
        <w:t xml:space="preserve">По </w:t>
      </w:r>
      <w:r w:rsidR="001748B6">
        <w:rPr>
          <w:color w:val="auto"/>
          <w:sz w:val="28"/>
          <w:szCs w:val="28"/>
        </w:rPr>
        <w:t xml:space="preserve">подпрограмме </w:t>
      </w:r>
      <w:r w:rsidR="001748B6">
        <w:rPr>
          <w:color w:val="auto"/>
          <w:sz w:val="28"/>
          <w:szCs w:val="28"/>
          <w:lang w:val="en-US"/>
        </w:rPr>
        <w:t>I</w:t>
      </w:r>
      <w:r w:rsidR="001748B6" w:rsidRPr="00BE6256">
        <w:rPr>
          <w:color w:val="auto"/>
          <w:sz w:val="28"/>
          <w:szCs w:val="28"/>
        </w:rPr>
        <w:t xml:space="preserve"> </w:t>
      </w:r>
      <w:r w:rsidR="001748B6">
        <w:rPr>
          <w:color w:val="auto"/>
          <w:sz w:val="28"/>
          <w:szCs w:val="28"/>
        </w:rPr>
        <w:t xml:space="preserve">«Стимулирование развития </w:t>
      </w:r>
      <w:r w:rsidR="002C0D8E">
        <w:rPr>
          <w:color w:val="auto"/>
          <w:sz w:val="28"/>
          <w:szCs w:val="28"/>
        </w:rPr>
        <w:t>жилищного строительства» по м</w:t>
      </w:r>
      <w:r>
        <w:rPr>
          <w:rFonts w:eastAsia="Times New Roman" w:cs="Times New Roman"/>
          <w:color w:val="auto"/>
          <w:sz w:val="28"/>
          <w:szCs w:val="28"/>
        </w:rPr>
        <w:t>ероприятию</w:t>
      </w:r>
      <w:r w:rsidR="00BE6256">
        <w:rPr>
          <w:rFonts w:eastAsia="Times New Roman" w:cs="Times New Roman"/>
          <w:color w:val="auto"/>
          <w:sz w:val="28"/>
          <w:szCs w:val="28"/>
        </w:rPr>
        <w:t xml:space="preserve"> 1.1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344C3" w:rsidRPr="008D6A22">
        <w:rPr>
          <w:rFonts w:eastAsia="Times New Roman" w:cs="Times New Roman"/>
          <w:color w:val="auto"/>
          <w:sz w:val="28"/>
          <w:szCs w:val="28"/>
        </w:rPr>
        <w:t>«</w:t>
      </w:r>
      <w:r w:rsidR="007344C3" w:rsidRPr="008D6A22">
        <w:rPr>
          <w:color w:val="auto"/>
          <w:sz w:val="28"/>
          <w:szCs w:val="28"/>
        </w:rPr>
        <w:t>Осуществление полномочий в области градостроительной деятельности»</w:t>
      </w:r>
      <w:r w:rsidR="00BE6256">
        <w:rPr>
          <w:color w:val="auto"/>
          <w:sz w:val="28"/>
          <w:szCs w:val="28"/>
        </w:rPr>
        <w:t xml:space="preserve"> </w:t>
      </w:r>
      <w:r w:rsidR="007344C3" w:rsidRPr="008D6A22">
        <w:rPr>
          <w:color w:val="auto"/>
          <w:sz w:val="28"/>
          <w:szCs w:val="28"/>
        </w:rPr>
        <w:t>ответственному исполнителю департаменту градостроительства и земельных отношений администрации города Нефтеюганска уменьшить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D6A22">
        <w:rPr>
          <w:rFonts w:eastAsia="Times New Roman" w:cs="Times New Roman"/>
          <w:color w:val="auto"/>
          <w:sz w:val="28"/>
          <w:szCs w:val="28"/>
        </w:rPr>
        <w:t>расходы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 в 2021 году </w:t>
      </w:r>
      <w:r w:rsidR="008D6A22" w:rsidRPr="008D6A22">
        <w:rPr>
          <w:rFonts w:eastAsia="Times New Roman" w:cs="Times New Roman"/>
          <w:color w:val="auto"/>
          <w:sz w:val="28"/>
          <w:szCs w:val="28"/>
        </w:rPr>
        <w:t xml:space="preserve">за счёт средств местного бюджета 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DF48EB">
        <w:rPr>
          <w:rFonts w:eastAsia="Times New Roman" w:cs="Times New Roman"/>
          <w:color w:val="auto"/>
          <w:sz w:val="28"/>
          <w:szCs w:val="28"/>
        </w:rPr>
        <w:t xml:space="preserve">сумму </w:t>
      </w:r>
      <w:r w:rsidR="002C0D8E" w:rsidRPr="002C0D8E">
        <w:rPr>
          <w:rFonts w:eastAsia="Times New Roman" w:cs="Times New Roman"/>
          <w:color w:val="auto"/>
          <w:sz w:val="28"/>
          <w:szCs w:val="28"/>
        </w:rPr>
        <w:t xml:space="preserve">1 439,048 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тыс. </w:t>
      </w:r>
      <w:r w:rsidR="00E72093" w:rsidRPr="00B36107">
        <w:rPr>
          <w:rFonts w:eastAsia="Times New Roman" w:cs="Times New Roman"/>
          <w:color w:val="auto"/>
          <w:sz w:val="28"/>
          <w:szCs w:val="28"/>
        </w:rPr>
        <w:t>рублей</w:t>
      </w:r>
      <w:r w:rsidR="00221EBD" w:rsidRPr="00B36107">
        <w:rPr>
          <w:rFonts w:eastAsia="Times New Roman" w:cs="Times New Roman"/>
          <w:color w:val="auto"/>
          <w:sz w:val="28"/>
          <w:szCs w:val="28"/>
        </w:rPr>
        <w:t xml:space="preserve"> в связи с </w:t>
      </w:r>
      <w:r w:rsidR="00B36107" w:rsidRPr="00B36107">
        <w:rPr>
          <w:rFonts w:eastAsia="Times New Roman" w:cs="Times New Roman"/>
          <w:color w:val="auto"/>
          <w:sz w:val="28"/>
          <w:szCs w:val="28"/>
        </w:rPr>
        <w:t>переносом закупки</w:t>
      </w:r>
      <w:r w:rsidR="00221EBD" w:rsidRPr="00B36107">
        <w:rPr>
          <w:rFonts w:eastAsia="Times New Roman" w:cs="Times New Roman"/>
          <w:color w:val="auto"/>
          <w:sz w:val="28"/>
          <w:szCs w:val="28"/>
        </w:rPr>
        <w:t xml:space="preserve"> «Внесение изменений в генеральную схему санитарной очистки территории города Нефтеюганска»</w:t>
      </w:r>
      <w:r w:rsidR="00B36107" w:rsidRPr="00B36107">
        <w:rPr>
          <w:rFonts w:eastAsia="Times New Roman" w:cs="Times New Roman"/>
          <w:color w:val="auto"/>
          <w:sz w:val="28"/>
          <w:szCs w:val="28"/>
        </w:rPr>
        <w:t xml:space="preserve"> на 2022 год</w:t>
      </w:r>
      <w:proofErr w:type="gramEnd"/>
      <w:r w:rsidR="00B36107" w:rsidRPr="00B36107">
        <w:rPr>
          <w:rFonts w:eastAsia="Times New Roman" w:cs="Times New Roman"/>
          <w:color w:val="auto"/>
          <w:sz w:val="28"/>
          <w:szCs w:val="28"/>
        </w:rPr>
        <w:t xml:space="preserve"> из-за длительной процедуры подготовки технического задания</w:t>
      </w:r>
      <w:r w:rsidR="008312E2" w:rsidRPr="00B36107">
        <w:rPr>
          <w:rFonts w:eastAsia="Times New Roman" w:cs="Times New Roman"/>
          <w:color w:val="auto"/>
          <w:sz w:val="28"/>
          <w:szCs w:val="28"/>
        </w:rPr>
        <w:t>.</w:t>
      </w:r>
    </w:p>
    <w:p w:rsidR="00C43C6A" w:rsidRPr="002C0D8E" w:rsidRDefault="00C43C6A" w:rsidP="002C0D8E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9C52B3" w:rsidRDefault="009C52B3" w:rsidP="00177A39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51C9F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851C9F" w:rsidRPr="00851C9F" w:rsidRDefault="00851C9F" w:rsidP="00177A39">
      <w:pPr>
        <w:tabs>
          <w:tab w:val="left" w:pos="0"/>
        </w:tabs>
        <w:ind w:firstLine="709"/>
        <w:jc w:val="both"/>
        <w:rPr>
          <w:color w:val="auto"/>
          <w:sz w:val="28"/>
        </w:rPr>
      </w:pPr>
    </w:p>
    <w:p w:rsidR="00FA2582" w:rsidRPr="00851C9F" w:rsidRDefault="00FA2582" w:rsidP="00FA2582">
      <w:pPr>
        <w:spacing w:line="247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51C9F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3000A8" w:rsidRPr="00851C9F" w:rsidRDefault="003000A8" w:rsidP="003000A8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851C9F">
        <w:rPr>
          <w:color w:val="auto"/>
          <w:sz w:val="28"/>
          <w:szCs w:val="28"/>
        </w:rPr>
        <w:tab/>
      </w:r>
    </w:p>
    <w:p w:rsidR="00A40A09" w:rsidRPr="00851C9F" w:rsidRDefault="00A40A09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Pr="00851C9F" w:rsidRDefault="009D6587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Pr="00851C9F" w:rsidRDefault="009D6587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C47B1F" w:rsidRPr="00851C9F" w:rsidRDefault="00FB6871" w:rsidP="003B4572">
      <w:pPr>
        <w:tabs>
          <w:tab w:val="left" w:pos="0"/>
        </w:tabs>
        <w:spacing w:line="276" w:lineRule="auto"/>
        <w:jc w:val="both"/>
        <w:rPr>
          <w:color w:val="auto"/>
          <w:sz w:val="20"/>
        </w:rPr>
      </w:pPr>
      <w:r w:rsidRPr="00851C9F">
        <w:rPr>
          <w:color w:val="auto"/>
          <w:sz w:val="28"/>
        </w:rPr>
        <w:t xml:space="preserve">Председатель </w:t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  <w:t xml:space="preserve">             С.А. Гичкина </w:t>
      </w:r>
    </w:p>
    <w:p w:rsidR="006B14B8" w:rsidRDefault="006B14B8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2C0D8E" w:rsidRDefault="002C0D8E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1947AB" w:rsidRPr="002C0D8E" w:rsidRDefault="001947AB" w:rsidP="001947AB">
      <w:pPr>
        <w:tabs>
          <w:tab w:val="left" w:pos="0"/>
        </w:tabs>
        <w:jc w:val="both"/>
        <w:rPr>
          <w:color w:val="auto"/>
          <w:sz w:val="16"/>
          <w:szCs w:val="16"/>
        </w:rPr>
      </w:pPr>
      <w:r w:rsidRPr="002C0D8E">
        <w:rPr>
          <w:color w:val="auto"/>
          <w:sz w:val="16"/>
          <w:szCs w:val="16"/>
        </w:rPr>
        <w:t>Исполнитель:</w:t>
      </w:r>
    </w:p>
    <w:p w:rsidR="001947AB" w:rsidRPr="002C0D8E" w:rsidRDefault="000443C1" w:rsidP="001947AB">
      <w:pPr>
        <w:tabs>
          <w:tab w:val="left" w:pos="0"/>
        </w:tabs>
        <w:jc w:val="both"/>
        <w:rPr>
          <w:color w:val="auto"/>
          <w:sz w:val="16"/>
          <w:szCs w:val="16"/>
        </w:rPr>
      </w:pPr>
      <w:r w:rsidRPr="002C0D8E">
        <w:rPr>
          <w:color w:val="auto"/>
          <w:sz w:val="16"/>
          <w:szCs w:val="16"/>
        </w:rPr>
        <w:t>и</w:t>
      </w:r>
      <w:r w:rsidR="001947AB" w:rsidRPr="002C0D8E">
        <w:rPr>
          <w:color w:val="auto"/>
          <w:sz w:val="16"/>
          <w:szCs w:val="16"/>
        </w:rPr>
        <w:t xml:space="preserve">нспектор инспекторского отдела № </w:t>
      </w:r>
      <w:r w:rsidR="00851C9F" w:rsidRPr="002C0D8E">
        <w:rPr>
          <w:color w:val="auto"/>
          <w:sz w:val="16"/>
          <w:szCs w:val="16"/>
        </w:rPr>
        <w:t>2</w:t>
      </w:r>
    </w:p>
    <w:p w:rsidR="001947AB" w:rsidRPr="002C0D8E" w:rsidRDefault="001947AB" w:rsidP="001947AB">
      <w:pPr>
        <w:tabs>
          <w:tab w:val="left" w:pos="0"/>
        </w:tabs>
        <w:jc w:val="both"/>
        <w:rPr>
          <w:color w:val="auto"/>
          <w:sz w:val="16"/>
          <w:szCs w:val="16"/>
        </w:rPr>
      </w:pPr>
      <w:r w:rsidRPr="002C0D8E">
        <w:rPr>
          <w:color w:val="auto"/>
          <w:sz w:val="16"/>
          <w:szCs w:val="16"/>
        </w:rPr>
        <w:t>Счётной палаты города Нефтеюганска</w:t>
      </w:r>
    </w:p>
    <w:p w:rsidR="001947AB" w:rsidRPr="002C0D8E" w:rsidRDefault="002C0D8E" w:rsidP="001947AB">
      <w:pPr>
        <w:tabs>
          <w:tab w:val="left" w:pos="0"/>
        </w:tabs>
        <w:jc w:val="both"/>
        <w:rPr>
          <w:color w:val="auto"/>
          <w:sz w:val="16"/>
          <w:szCs w:val="16"/>
        </w:rPr>
      </w:pPr>
      <w:proofErr w:type="spellStart"/>
      <w:r w:rsidRPr="002C0D8E">
        <w:rPr>
          <w:color w:val="auto"/>
          <w:sz w:val="16"/>
          <w:szCs w:val="16"/>
        </w:rPr>
        <w:t>Найдёнова</w:t>
      </w:r>
      <w:proofErr w:type="spellEnd"/>
      <w:r w:rsidRPr="002C0D8E">
        <w:rPr>
          <w:color w:val="auto"/>
          <w:sz w:val="16"/>
          <w:szCs w:val="16"/>
        </w:rPr>
        <w:t xml:space="preserve"> Юлия Николаевна</w:t>
      </w:r>
    </w:p>
    <w:p w:rsidR="00C678B2" w:rsidRPr="002C0D8E" w:rsidRDefault="001947AB" w:rsidP="001947AB">
      <w:pPr>
        <w:tabs>
          <w:tab w:val="left" w:pos="0"/>
        </w:tabs>
        <w:jc w:val="both"/>
        <w:rPr>
          <w:color w:val="FF0000"/>
          <w:sz w:val="16"/>
          <w:szCs w:val="16"/>
        </w:rPr>
      </w:pPr>
      <w:r w:rsidRPr="002C0D8E">
        <w:rPr>
          <w:color w:val="auto"/>
          <w:sz w:val="16"/>
          <w:szCs w:val="16"/>
        </w:rPr>
        <w:t>Тел. 8(3463)20</w:t>
      </w:r>
      <w:r w:rsidR="002C0D8E" w:rsidRPr="002C0D8E">
        <w:rPr>
          <w:color w:val="auto"/>
          <w:sz w:val="16"/>
          <w:szCs w:val="16"/>
        </w:rPr>
        <w:t>3948</w:t>
      </w:r>
    </w:p>
    <w:sectPr w:rsidR="00C678B2" w:rsidRPr="002C0D8E" w:rsidSect="00D93B4A">
      <w:headerReference w:type="default" r:id="rId13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33" w:rsidRDefault="006E1733">
      <w:r>
        <w:separator/>
      </w:r>
    </w:p>
  </w:endnote>
  <w:endnote w:type="continuationSeparator" w:id="0">
    <w:p w:rsidR="006E1733" w:rsidRDefault="006E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33" w:rsidRDefault="006E1733">
      <w:r>
        <w:separator/>
      </w:r>
    </w:p>
  </w:footnote>
  <w:footnote w:type="continuationSeparator" w:id="0">
    <w:p w:rsidR="006E1733" w:rsidRDefault="006E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13F6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469CD"/>
    <w:multiLevelType w:val="hybridMultilevel"/>
    <w:tmpl w:val="573E4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E37E2A"/>
    <w:multiLevelType w:val="hybridMultilevel"/>
    <w:tmpl w:val="B20E6C2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AB2"/>
    <w:rsid w:val="00025F63"/>
    <w:rsid w:val="00026F28"/>
    <w:rsid w:val="000306BB"/>
    <w:rsid w:val="000313FE"/>
    <w:rsid w:val="00033306"/>
    <w:rsid w:val="00036E5A"/>
    <w:rsid w:val="0004177D"/>
    <w:rsid w:val="000443C1"/>
    <w:rsid w:val="0004666B"/>
    <w:rsid w:val="0005022E"/>
    <w:rsid w:val="00051ABF"/>
    <w:rsid w:val="000649AE"/>
    <w:rsid w:val="00066861"/>
    <w:rsid w:val="00076482"/>
    <w:rsid w:val="00085E36"/>
    <w:rsid w:val="00094386"/>
    <w:rsid w:val="00097DF3"/>
    <w:rsid w:val="000A5741"/>
    <w:rsid w:val="000B1495"/>
    <w:rsid w:val="000B5CBA"/>
    <w:rsid w:val="000C387A"/>
    <w:rsid w:val="000D0655"/>
    <w:rsid w:val="000D0BE0"/>
    <w:rsid w:val="000D593E"/>
    <w:rsid w:val="000D6527"/>
    <w:rsid w:val="000D7433"/>
    <w:rsid w:val="000D7BA2"/>
    <w:rsid w:val="000E490E"/>
    <w:rsid w:val="000F04B1"/>
    <w:rsid w:val="000F43FB"/>
    <w:rsid w:val="001058DF"/>
    <w:rsid w:val="00110BE1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748B6"/>
    <w:rsid w:val="00177A39"/>
    <w:rsid w:val="00191761"/>
    <w:rsid w:val="001919C8"/>
    <w:rsid w:val="00191D1C"/>
    <w:rsid w:val="0019375B"/>
    <w:rsid w:val="00193B46"/>
    <w:rsid w:val="001947AB"/>
    <w:rsid w:val="001967F7"/>
    <w:rsid w:val="001A1663"/>
    <w:rsid w:val="001A748A"/>
    <w:rsid w:val="001B4D01"/>
    <w:rsid w:val="001B621C"/>
    <w:rsid w:val="001C2947"/>
    <w:rsid w:val="001C78F6"/>
    <w:rsid w:val="001D000F"/>
    <w:rsid w:val="001D2F2C"/>
    <w:rsid w:val="001D3E1B"/>
    <w:rsid w:val="001E15BB"/>
    <w:rsid w:val="001E6A2E"/>
    <w:rsid w:val="001E6B99"/>
    <w:rsid w:val="001F3854"/>
    <w:rsid w:val="001F4A82"/>
    <w:rsid w:val="001F6140"/>
    <w:rsid w:val="00204BAA"/>
    <w:rsid w:val="002109EC"/>
    <w:rsid w:val="00217913"/>
    <w:rsid w:val="00221EBD"/>
    <w:rsid w:val="0022290E"/>
    <w:rsid w:val="0023728F"/>
    <w:rsid w:val="00242C55"/>
    <w:rsid w:val="00245F4F"/>
    <w:rsid w:val="00251473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0D8E"/>
    <w:rsid w:val="002C22F0"/>
    <w:rsid w:val="002C33DA"/>
    <w:rsid w:val="002C506D"/>
    <w:rsid w:val="002E0801"/>
    <w:rsid w:val="002F6437"/>
    <w:rsid w:val="003000A8"/>
    <w:rsid w:val="0030449D"/>
    <w:rsid w:val="00304E39"/>
    <w:rsid w:val="0031317B"/>
    <w:rsid w:val="00315485"/>
    <w:rsid w:val="00316F81"/>
    <w:rsid w:val="003241E8"/>
    <w:rsid w:val="003269EF"/>
    <w:rsid w:val="00331865"/>
    <w:rsid w:val="003442ED"/>
    <w:rsid w:val="00355234"/>
    <w:rsid w:val="00372138"/>
    <w:rsid w:val="00372A02"/>
    <w:rsid w:val="00372F9A"/>
    <w:rsid w:val="00376A8E"/>
    <w:rsid w:val="00390F49"/>
    <w:rsid w:val="00394F09"/>
    <w:rsid w:val="003A2464"/>
    <w:rsid w:val="003A45A2"/>
    <w:rsid w:val="003B35FC"/>
    <w:rsid w:val="003B4572"/>
    <w:rsid w:val="003B5D4B"/>
    <w:rsid w:val="003C4CC5"/>
    <w:rsid w:val="003C57A2"/>
    <w:rsid w:val="003D09FE"/>
    <w:rsid w:val="003E59F3"/>
    <w:rsid w:val="003E5A1C"/>
    <w:rsid w:val="003F7B47"/>
    <w:rsid w:val="004117F5"/>
    <w:rsid w:val="00430ADC"/>
    <w:rsid w:val="00455778"/>
    <w:rsid w:val="00455E15"/>
    <w:rsid w:val="004611DE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A03D3"/>
    <w:rsid w:val="004A1433"/>
    <w:rsid w:val="004A34C8"/>
    <w:rsid w:val="004A524D"/>
    <w:rsid w:val="004A70AC"/>
    <w:rsid w:val="004B71B8"/>
    <w:rsid w:val="004C1B96"/>
    <w:rsid w:val="004C325D"/>
    <w:rsid w:val="004C738A"/>
    <w:rsid w:val="004D35B2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154D3"/>
    <w:rsid w:val="00532A63"/>
    <w:rsid w:val="00535656"/>
    <w:rsid w:val="00537E74"/>
    <w:rsid w:val="0054164C"/>
    <w:rsid w:val="005436E3"/>
    <w:rsid w:val="00554147"/>
    <w:rsid w:val="00563DD5"/>
    <w:rsid w:val="00566A86"/>
    <w:rsid w:val="00571647"/>
    <w:rsid w:val="00582B8D"/>
    <w:rsid w:val="005A022F"/>
    <w:rsid w:val="005A22A2"/>
    <w:rsid w:val="005A4869"/>
    <w:rsid w:val="005B473C"/>
    <w:rsid w:val="005B7192"/>
    <w:rsid w:val="005D5AEC"/>
    <w:rsid w:val="005D68EE"/>
    <w:rsid w:val="005D7505"/>
    <w:rsid w:val="005E1754"/>
    <w:rsid w:val="005E51A6"/>
    <w:rsid w:val="005F0AF4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B14B8"/>
    <w:rsid w:val="006C6421"/>
    <w:rsid w:val="006E07F1"/>
    <w:rsid w:val="006E1733"/>
    <w:rsid w:val="006F13F6"/>
    <w:rsid w:val="006F7A48"/>
    <w:rsid w:val="007134DB"/>
    <w:rsid w:val="007344C3"/>
    <w:rsid w:val="00756B43"/>
    <w:rsid w:val="007613E8"/>
    <w:rsid w:val="00761658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11C08"/>
    <w:rsid w:val="0082236E"/>
    <w:rsid w:val="00822A64"/>
    <w:rsid w:val="00825575"/>
    <w:rsid w:val="008301D8"/>
    <w:rsid w:val="008312E2"/>
    <w:rsid w:val="00832092"/>
    <w:rsid w:val="0084554E"/>
    <w:rsid w:val="00845D02"/>
    <w:rsid w:val="0084736E"/>
    <w:rsid w:val="00847583"/>
    <w:rsid w:val="00851502"/>
    <w:rsid w:val="00851C9F"/>
    <w:rsid w:val="008522D0"/>
    <w:rsid w:val="00855C5F"/>
    <w:rsid w:val="00862288"/>
    <w:rsid w:val="00862343"/>
    <w:rsid w:val="00867B57"/>
    <w:rsid w:val="00874249"/>
    <w:rsid w:val="00874A73"/>
    <w:rsid w:val="00881315"/>
    <w:rsid w:val="008876BA"/>
    <w:rsid w:val="0089604A"/>
    <w:rsid w:val="00896321"/>
    <w:rsid w:val="008B6BBD"/>
    <w:rsid w:val="008D603C"/>
    <w:rsid w:val="008D6A22"/>
    <w:rsid w:val="008E5820"/>
    <w:rsid w:val="008F73EA"/>
    <w:rsid w:val="009156C7"/>
    <w:rsid w:val="00933370"/>
    <w:rsid w:val="00942B95"/>
    <w:rsid w:val="009457F8"/>
    <w:rsid w:val="00951FE3"/>
    <w:rsid w:val="00952B64"/>
    <w:rsid w:val="00952C9E"/>
    <w:rsid w:val="009564B0"/>
    <w:rsid w:val="00970940"/>
    <w:rsid w:val="00971E2A"/>
    <w:rsid w:val="00972224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232B7"/>
    <w:rsid w:val="00A2615A"/>
    <w:rsid w:val="00A31FC6"/>
    <w:rsid w:val="00A40A09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A6DF1"/>
    <w:rsid w:val="00AD12C5"/>
    <w:rsid w:val="00AD3CF7"/>
    <w:rsid w:val="00AD5D5A"/>
    <w:rsid w:val="00AE74FC"/>
    <w:rsid w:val="00AF1BCE"/>
    <w:rsid w:val="00AF207D"/>
    <w:rsid w:val="00AF2590"/>
    <w:rsid w:val="00B02D7C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36107"/>
    <w:rsid w:val="00B43349"/>
    <w:rsid w:val="00B44351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B1F95"/>
    <w:rsid w:val="00BC65A9"/>
    <w:rsid w:val="00BD0502"/>
    <w:rsid w:val="00BD1AB1"/>
    <w:rsid w:val="00BD2CF4"/>
    <w:rsid w:val="00BD4B12"/>
    <w:rsid w:val="00BD6B31"/>
    <w:rsid w:val="00BE0596"/>
    <w:rsid w:val="00BE6256"/>
    <w:rsid w:val="00BF1DBC"/>
    <w:rsid w:val="00BF4A05"/>
    <w:rsid w:val="00C060C8"/>
    <w:rsid w:val="00C07D03"/>
    <w:rsid w:val="00C148DB"/>
    <w:rsid w:val="00C41148"/>
    <w:rsid w:val="00C43C6A"/>
    <w:rsid w:val="00C47B1F"/>
    <w:rsid w:val="00C55BB3"/>
    <w:rsid w:val="00C62FBE"/>
    <w:rsid w:val="00C678B2"/>
    <w:rsid w:val="00C76F9A"/>
    <w:rsid w:val="00C81A17"/>
    <w:rsid w:val="00C81B51"/>
    <w:rsid w:val="00CA2AF2"/>
    <w:rsid w:val="00CA75A0"/>
    <w:rsid w:val="00CB56E9"/>
    <w:rsid w:val="00CB6BB9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12265"/>
    <w:rsid w:val="00D22D2F"/>
    <w:rsid w:val="00D242D6"/>
    <w:rsid w:val="00D34954"/>
    <w:rsid w:val="00D4082C"/>
    <w:rsid w:val="00D45EDC"/>
    <w:rsid w:val="00D55626"/>
    <w:rsid w:val="00D55BF1"/>
    <w:rsid w:val="00D572B8"/>
    <w:rsid w:val="00D57412"/>
    <w:rsid w:val="00D65C0E"/>
    <w:rsid w:val="00D72CEA"/>
    <w:rsid w:val="00D772A1"/>
    <w:rsid w:val="00D82B91"/>
    <w:rsid w:val="00D92EEB"/>
    <w:rsid w:val="00D93B4A"/>
    <w:rsid w:val="00DA34C0"/>
    <w:rsid w:val="00DB4EC3"/>
    <w:rsid w:val="00DB78C5"/>
    <w:rsid w:val="00DD2F46"/>
    <w:rsid w:val="00DD5D2F"/>
    <w:rsid w:val="00DD7AC3"/>
    <w:rsid w:val="00DE1680"/>
    <w:rsid w:val="00DF48EB"/>
    <w:rsid w:val="00E00D97"/>
    <w:rsid w:val="00E21540"/>
    <w:rsid w:val="00E25DC7"/>
    <w:rsid w:val="00E30C82"/>
    <w:rsid w:val="00E3141B"/>
    <w:rsid w:val="00E369A6"/>
    <w:rsid w:val="00E447EA"/>
    <w:rsid w:val="00E54187"/>
    <w:rsid w:val="00E60950"/>
    <w:rsid w:val="00E61790"/>
    <w:rsid w:val="00E63021"/>
    <w:rsid w:val="00E634A5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2E4E"/>
    <w:rsid w:val="00EC59EB"/>
    <w:rsid w:val="00EC62A8"/>
    <w:rsid w:val="00ED5270"/>
    <w:rsid w:val="00ED6193"/>
    <w:rsid w:val="00ED77A0"/>
    <w:rsid w:val="00EE148C"/>
    <w:rsid w:val="00EE40CB"/>
    <w:rsid w:val="00EF3190"/>
    <w:rsid w:val="00EF543D"/>
    <w:rsid w:val="00EF78D7"/>
    <w:rsid w:val="00F003B8"/>
    <w:rsid w:val="00F02231"/>
    <w:rsid w:val="00F02309"/>
    <w:rsid w:val="00F03791"/>
    <w:rsid w:val="00F065AE"/>
    <w:rsid w:val="00F30DD8"/>
    <w:rsid w:val="00F314ED"/>
    <w:rsid w:val="00F40ED2"/>
    <w:rsid w:val="00F47516"/>
    <w:rsid w:val="00F62135"/>
    <w:rsid w:val="00F67591"/>
    <w:rsid w:val="00F7289E"/>
    <w:rsid w:val="00F77CA2"/>
    <w:rsid w:val="00F81233"/>
    <w:rsid w:val="00F8267A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10EB"/>
    <w:rsid w:val="00FB6871"/>
    <w:rsid w:val="00FC0271"/>
    <w:rsid w:val="00FC0C4C"/>
    <w:rsid w:val="00FD484E"/>
    <w:rsid w:val="00FD5389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admugan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-ugansk@mail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459FF-FAFA-4A51-9C37-7BF9B1CE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2021-06-24T05:17:00Z</cp:lastPrinted>
  <dcterms:created xsi:type="dcterms:W3CDTF">2021-04-26T09:21:00Z</dcterms:created>
  <dcterms:modified xsi:type="dcterms:W3CDTF">2021-06-24T08:38:00Z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