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D42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Решени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976</w:t>
      </w:r>
      <w:r w:rsidR="00D42B09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42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0B1807">
        <w:rPr>
          <w:rFonts w:ascii="Times New Roman" w:eastAsia="Times New Roman" w:hAnsi="Times New Roman" w:cs="Times New Roman"/>
          <w:sz w:val="28"/>
          <w:szCs w:val="28"/>
          <w:lang w:eastAsia="ru-RU"/>
        </w:rPr>
        <w:t>284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1807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807">
        <w:rPr>
          <w:rFonts w:ascii="Times New Roman" w:eastAsia="Times New Roman" w:hAnsi="Times New Roman" w:cs="Times New Roman"/>
          <w:sz w:val="28"/>
          <w:szCs w:val="28"/>
          <w:lang w:eastAsia="ru-RU"/>
        </w:rPr>
        <w:t>228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145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054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930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копеек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860 253 702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631BA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 201 514 552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142 000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10 029 799 187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5A82">
        <w:rPr>
          <w:rFonts w:ascii="Times New Roman" w:eastAsia="Times New Roman" w:hAnsi="Times New Roman" w:cs="Times New Roman"/>
          <w:sz w:val="28"/>
          <w:szCs w:val="28"/>
          <w:lang w:eastAsia="ru-RU"/>
        </w:rPr>
        <w:t> 269 898 539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bookmarkStart w:id="0" w:name="_GoBack"/>
      <w:bookmarkEnd w:id="0"/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40 099 352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150 000 000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3 111 885 087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294 330 882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 58 копеек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 917 914 100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67EEC">
        <w:rPr>
          <w:rFonts w:ascii="Times New Roman" w:eastAsia="Times New Roman" w:hAnsi="Times New Roman" w:cs="Times New Roman"/>
          <w:sz w:val="28"/>
          <w:szCs w:val="28"/>
          <w:lang w:eastAsia="ru-RU"/>
        </w:rPr>
        <w:t>47 353 043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67E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75 491 045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в 2022-2023 годах части затрат застройщикам (инвесторам) по строительству объектов инженерной инфраструктуры;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DC0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EEC" w:rsidRDefault="00A67EE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</w:t>
      </w:r>
      <w:proofErr w:type="spellStart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отрасли культуры в рамках регионального проекта «Культурная среда»</w:t>
      </w:r>
      <w:r w:rsidR="00007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00759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07590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5A82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137F5"/>
    <w:rsid w:val="00A37B94"/>
    <w:rsid w:val="00A43DD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B431-4755-4114-81FB-42ACB5C0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8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126</cp:revision>
  <cp:lastPrinted>2021-05-11T05:40:00Z</cp:lastPrinted>
  <dcterms:created xsi:type="dcterms:W3CDTF">2019-01-30T05:23:00Z</dcterms:created>
  <dcterms:modified xsi:type="dcterms:W3CDTF">2021-08-31T05:03:00Z</dcterms:modified>
</cp:coreProperties>
</file>