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43763" w14:textId="0A848E7F" w:rsidR="00BD7031" w:rsidRPr="00326023" w:rsidRDefault="00AB21AC" w:rsidP="00BD7031">
      <w:pPr>
        <w:tabs>
          <w:tab w:val="left" w:pos="5670"/>
        </w:tabs>
        <w:ind w:firstLine="9781"/>
        <w:jc w:val="both"/>
        <w:rPr>
          <w:i/>
          <w:spacing w:val="2"/>
          <w:sz w:val="28"/>
          <w:szCs w:val="28"/>
        </w:rPr>
      </w:pPr>
      <w:r>
        <w:rPr>
          <w:i/>
          <w:spacing w:val="2"/>
          <w:sz w:val="28"/>
          <w:szCs w:val="28"/>
        </w:rPr>
        <w:t>Приложение</w:t>
      </w:r>
      <w:r w:rsidR="00BD7031">
        <w:rPr>
          <w:i/>
          <w:spacing w:val="2"/>
          <w:sz w:val="28"/>
          <w:szCs w:val="28"/>
        </w:rPr>
        <w:t xml:space="preserve"> </w:t>
      </w:r>
      <w:r w:rsidR="00BD7031" w:rsidRPr="00326023">
        <w:rPr>
          <w:i/>
          <w:spacing w:val="2"/>
          <w:sz w:val="28"/>
          <w:szCs w:val="28"/>
        </w:rPr>
        <w:t>к заключению</w:t>
      </w:r>
    </w:p>
    <w:p w14:paraId="271DAC28" w14:textId="77777777" w:rsidR="00BD7031" w:rsidRPr="00326023" w:rsidRDefault="00BD7031" w:rsidP="00BD7031">
      <w:pPr>
        <w:tabs>
          <w:tab w:val="left" w:pos="5670"/>
        </w:tabs>
        <w:ind w:firstLine="9781"/>
        <w:jc w:val="both"/>
        <w:rPr>
          <w:i/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>о результатах публичных слушаний</w:t>
      </w:r>
    </w:p>
    <w:p w14:paraId="3862302E" w14:textId="77777777" w:rsidR="00BD7031" w:rsidRPr="00326023" w:rsidRDefault="00BD7031" w:rsidP="00BD7031">
      <w:pPr>
        <w:tabs>
          <w:tab w:val="left" w:pos="5670"/>
        </w:tabs>
        <w:ind w:firstLine="9781"/>
        <w:jc w:val="both"/>
        <w:rPr>
          <w:i/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 xml:space="preserve">(общественных обсуждений) </w:t>
      </w:r>
      <w:r>
        <w:rPr>
          <w:i/>
          <w:spacing w:val="2"/>
          <w:sz w:val="28"/>
          <w:szCs w:val="28"/>
        </w:rPr>
        <w:t xml:space="preserve"> </w:t>
      </w:r>
      <w:r w:rsidRPr="00326023">
        <w:rPr>
          <w:i/>
          <w:spacing w:val="2"/>
          <w:sz w:val="28"/>
          <w:szCs w:val="28"/>
        </w:rPr>
        <w:t xml:space="preserve">  </w:t>
      </w:r>
    </w:p>
    <w:p w14:paraId="29DF30A6" w14:textId="7DE32054" w:rsidR="00BD7031" w:rsidRPr="008D5A2A" w:rsidRDefault="00BD7031" w:rsidP="00BD7031">
      <w:pPr>
        <w:tabs>
          <w:tab w:val="left" w:pos="5670"/>
        </w:tabs>
        <w:ind w:firstLine="9781"/>
        <w:jc w:val="both"/>
        <w:rPr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 xml:space="preserve">от </w:t>
      </w:r>
      <w:r w:rsidR="00AB21AC">
        <w:rPr>
          <w:i/>
          <w:spacing w:val="2"/>
          <w:sz w:val="28"/>
          <w:szCs w:val="28"/>
        </w:rPr>
        <w:t>29.03.2021</w:t>
      </w:r>
      <w:r w:rsidRPr="00326023">
        <w:rPr>
          <w:i/>
          <w:spacing w:val="2"/>
          <w:sz w:val="28"/>
          <w:szCs w:val="28"/>
        </w:rPr>
        <w:t xml:space="preserve"> №1</w:t>
      </w:r>
      <w:r>
        <w:rPr>
          <w:i/>
          <w:spacing w:val="2"/>
          <w:sz w:val="28"/>
          <w:szCs w:val="28"/>
        </w:rPr>
        <w:t>1</w:t>
      </w:r>
      <w:r w:rsidR="00AB21AC">
        <w:rPr>
          <w:i/>
          <w:spacing w:val="2"/>
          <w:sz w:val="28"/>
          <w:szCs w:val="28"/>
        </w:rPr>
        <w:t>7</w:t>
      </w:r>
    </w:p>
    <w:p w14:paraId="725A2545" w14:textId="77777777" w:rsidR="00BD7031" w:rsidRPr="00F61527" w:rsidRDefault="00BD7031" w:rsidP="00BD7031">
      <w:pPr>
        <w:tabs>
          <w:tab w:val="left" w:pos="5670"/>
        </w:tabs>
        <w:jc w:val="right"/>
        <w:rPr>
          <w:spacing w:val="2"/>
          <w:sz w:val="10"/>
          <w:szCs w:val="10"/>
        </w:rPr>
      </w:pPr>
    </w:p>
    <w:p w14:paraId="0754C786" w14:textId="77777777" w:rsidR="00BD7031" w:rsidRDefault="00BD7031" w:rsidP="00BD7031">
      <w:pPr>
        <w:tabs>
          <w:tab w:val="left" w:pos="5670"/>
        </w:tabs>
        <w:jc w:val="center"/>
        <w:rPr>
          <w:spacing w:val="2"/>
        </w:rPr>
      </w:pPr>
      <w:r>
        <w:rPr>
          <w:spacing w:val="2"/>
        </w:rPr>
        <w:t xml:space="preserve">Предложения и замечания участников публичных слушаний, </w:t>
      </w:r>
    </w:p>
    <w:p w14:paraId="5A77121B" w14:textId="1F4C3A74" w:rsidR="00BD7031" w:rsidRDefault="00BD7031" w:rsidP="00BD7031">
      <w:pPr>
        <w:tabs>
          <w:tab w:val="left" w:pos="5670"/>
        </w:tabs>
        <w:jc w:val="center"/>
        <w:rPr>
          <w:spacing w:val="2"/>
        </w:rPr>
      </w:pPr>
      <w:r>
        <w:rPr>
          <w:spacing w:val="2"/>
        </w:rPr>
        <w:t xml:space="preserve">поступившие </w:t>
      </w:r>
      <w:r w:rsidRPr="009454B7">
        <w:rPr>
          <w:i/>
          <w:spacing w:val="2"/>
          <w:u w:val="single"/>
        </w:rPr>
        <w:t xml:space="preserve">в ходе </w:t>
      </w:r>
      <w:r>
        <w:rPr>
          <w:i/>
          <w:spacing w:val="2"/>
          <w:u w:val="single"/>
        </w:rPr>
        <w:t>заседания</w:t>
      </w:r>
      <w:r w:rsidRPr="009454B7">
        <w:rPr>
          <w:i/>
          <w:spacing w:val="2"/>
          <w:u w:val="single"/>
        </w:rPr>
        <w:t xml:space="preserve"> публичных слушаний </w:t>
      </w:r>
      <w:r w:rsidR="00AB21AC">
        <w:rPr>
          <w:i/>
          <w:spacing w:val="2"/>
          <w:u w:val="single"/>
        </w:rPr>
        <w:t>29.03.2021</w:t>
      </w:r>
      <w:r w:rsidRPr="009454B7">
        <w:rPr>
          <w:i/>
          <w:spacing w:val="2"/>
        </w:rPr>
        <w:t xml:space="preserve"> </w:t>
      </w:r>
    </w:p>
    <w:p w14:paraId="61132920" w14:textId="45DAADD0" w:rsidR="00AB21AC" w:rsidRDefault="00AB21AC" w:rsidP="00131C05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pacing w:val="2"/>
          <w:sz w:val="24"/>
          <w:szCs w:val="24"/>
          <w:u w:val="single"/>
        </w:rPr>
      </w:pPr>
      <w:r w:rsidRPr="00AB21AC">
        <w:rPr>
          <w:rFonts w:ascii="Times New Roman" w:hAnsi="Times New Roman" w:cs="Times New Roman"/>
          <w:spacing w:val="2"/>
          <w:sz w:val="24"/>
          <w:szCs w:val="24"/>
          <w:u w:val="single"/>
        </w:rPr>
        <w:t>по проекту планировки и проекту внесения изменений в проект межевания территории микрорайона 10 города Нефтеюганска</w:t>
      </w:r>
    </w:p>
    <w:p w14:paraId="760CA757" w14:textId="77777777" w:rsidR="00B7739B" w:rsidRPr="00131C05" w:rsidRDefault="00B7739B" w:rsidP="00131C05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pacing w:val="2"/>
          <w:sz w:val="24"/>
          <w:szCs w:val="24"/>
          <w:u w:val="single"/>
        </w:rPr>
      </w:pPr>
    </w:p>
    <w:tbl>
      <w:tblPr>
        <w:tblpPr w:leftFromText="180" w:rightFromText="180" w:bottomFromText="160" w:vertAnchor="text" w:horzAnchor="margin" w:tblpY="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2067"/>
        <w:gridCol w:w="5039"/>
        <w:gridCol w:w="6730"/>
      </w:tblGrid>
      <w:tr w:rsidR="00BD7031" w14:paraId="41C42B02" w14:textId="77777777" w:rsidTr="00AC146A">
        <w:trPr>
          <w:trHeight w:val="140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DC8DB" w14:textId="77777777" w:rsidR="00BD7031" w:rsidRDefault="00BD7031">
            <w:pPr>
              <w:spacing w:line="256" w:lineRule="auto"/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№ п.п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F355B" w14:textId="77777777" w:rsidR="00BD7031" w:rsidRDefault="00BD7031">
            <w:pPr>
              <w:spacing w:line="256" w:lineRule="auto"/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 xml:space="preserve">Номера карточек участников публичных слушаний 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E9597" w14:textId="77777777" w:rsidR="00BD7031" w:rsidRDefault="00BD7031">
            <w:pPr>
              <w:spacing w:line="256" w:lineRule="auto"/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color w:val="000000"/>
                <w:lang w:eastAsia="en-US"/>
              </w:rPr>
              <w:t>Предложения и замечания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D77CD" w14:textId="77777777" w:rsidR="00BD7031" w:rsidRDefault="00BD7031">
            <w:pPr>
              <w:spacing w:line="256" w:lineRule="auto"/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Ответ</w:t>
            </w:r>
          </w:p>
          <w:p w14:paraId="4FF9EB49" w14:textId="5D9A32BE" w:rsidR="00BD7031" w:rsidRDefault="00BD7031" w:rsidP="0032483B">
            <w:pPr>
              <w:spacing w:line="256" w:lineRule="auto"/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ООО «</w:t>
            </w:r>
            <w:r w:rsidR="0032483B">
              <w:rPr>
                <w:rFonts w:eastAsia="Calibri"/>
                <w:bCs/>
                <w:i/>
                <w:lang w:eastAsia="en-US"/>
              </w:rPr>
              <w:t>Архивариус</w:t>
            </w:r>
            <w:r>
              <w:rPr>
                <w:rFonts w:eastAsia="Calibri"/>
                <w:bCs/>
                <w:i/>
                <w:lang w:eastAsia="en-US"/>
              </w:rPr>
              <w:t>»</w:t>
            </w:r>
          </w:p>
        </w:tc>
      </w:tr>
      <w:tr w:rsidR="00BD7031" w14:paraId="7FAD4EDB" w14:textId="77777777" w:rsidTr="00AC146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BD40" w14:textId="77777777" w:rsidR="00BD7031" w:rsidRDefault="00BD7031">
            <w:pPr>
              <w:spacing w:line="256" w:lineRule="auto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30BB3" w14:textId="77777777" w:rsidR="00BD7031" w:rsidRDefault="00BD7031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CEDC" w14:textId="77777777" w:rsidR="00BD7031" w:rsidRDefault="00BD7031">
            <w:pPr>
              <w:spacing w:line="256" w:lineRule="auto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3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9913" w14:textId="77777777" w:rsidR="00BD7031" w:rsidRDefault="00BD7031">
            <w:pPr>
              <w:spacing w:line="256" w:lineRule="auto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4</w:t>
            </w:r>
          </w:p>
        </w:tc>
      </w:tr>
      <w:tr w:rsidR="0013268F" w14:paraId="2AC88A7C" w14:textId="77777777" w:rsidTr="00B7739B">
        <w:trPr>
          <w:trHeight w:val="339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2969" w14:textId="77777777" w:rsidR="0013268F" w:rsidRDefault="0013268F" w:rsidP="0013268F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</w:p>
          <w:p w14:paraId="2BBC72BE" w14:textId="77777777" w:rsidR="0013268F" w:rsidRDefault="0013268F" w:rsidP="0013268F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1.</w:t>
            </w:r>
          </w:p>
          <w:p w14:paraId="778AB571" w14:textId="77777777" w:rsidR="0013268F" w:rsidRDefault="0013268F" w:rsidP="0013268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FA8C3" w14:textId="586355BA" w:rsidR="0013268F" w:rsidRPr="00C25585" w:rsidRDefault="0013268F" w:rsidP="0013268F">
            <w:pPr>
              <w:spacing w:line="256" w:lineRule="auto"/>
              <w:jc w:val="center"/>
              <w:rPr>
                <w:lang w:eastAsia="en-US"/>
              </w:rPr>
            </w:pPr>
            <w:r w:rsidRPr="00C25585">
              <w:rPr>
                <w:lang w:eastAsia="en-US"/>
              </w:rPr>
              <w:t>1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0C4B" w14:textId="2A2F88BA" w:rsidR="0013268F" w:rsidRPr="00402517" w:rsidRDefault="008A0B20" w:rsidP="0013268F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Придомовые территории оставить на прежнем уровне (без изменений)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5F62" w14:textId="77777777" w:rsidR="004D17BD" w:rsidRPr="00DA2BFC" w:rsidRDefault="00115FA1" w:rsidP="004D17BD">
            <w:pPr>
              <w:tabs>
                <w:tab w:val="left" w:pos="1418"/>
              </w:tabs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Замечание не принимается. </w:t>
            </w:r>
          </w:p>
          <w:p w14:paraId="26069FEE" w14:textId="2B730A33" w:rsidR="004D17BD" w:rsidRPr="004D17BD" w:rsidRDefault="00732820" w:rsidP="004D17BD">
            <w:pPr>
              <w:tabs>
                <w:tab w:val="left" w:pos="1418"/>
              </w:tabs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</w:t>
            </w:r>
            <w:r w:rsidR="004D17BD" w:rsidRPr="004D17BD">
              <w:rPr>
                <w:rFonts w:eastAsia="Calibri"/>
                <w:bCs/>
                <w:lang w:eastAsia="en-US"/>
              </w:rPr>
              <w:t xml:space="preserve"> соответствии со ст</w:t>
            </w:r>
            <w:r w:rsidR="00264E4D">
              <w:rPr>
                <w:rFonts w:eastAsia="Calibri"/>
                <w:bCs/>
                <w:lang w:eastAsia="en-US"/>
              </w:rPr>
              <w:t xml:space="preserve">атьи </w:t>
            </w:r>
            <w:r w:rsidR="004D17BD" w:rsidRPr="004D17BD">
              <w:rPr>
                <w:rFonts w:eastAsia="Calibri"/>
                <w:bCs/>
                <w:lang w:eastAsia="en-US"/>
              </w:rPr>
              <w:t xml:space="preserve">41 </w:t>
            </w:r>
            <w:r w:rsidR="004D17BD">
              <w:rPr>
                <w:rFonts w:eastAsia="Calibri"/>
                <w:bCs/>
                <w:lang w:eastAsia="en-US"/>
              </w:rPr>
              <w:t>Градостроительного кодекса Российской Федерации (далее – ГрК РФ)</w:t>
            </w:r>
            <w:r w:rsidR="004D17BD" w:rsidRPr="004D17BD">
              <w:rPr>
                <w:rFonts w:eastAsia="Calibri"/>
                <w:bCs/>
                <w:lang w:eastAsia="en-US"/>
              </w:rPr>
              <w:t xml:space="preserve"> 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      </w:r>
          </w:p>
          <w:p w14:paraId="6732243B" w14:textId="4D4CE7E0" w:rsidR="004D17BD" w:rsidRPr="004D17BD" w:rsidRDefault="004D17BD" w:rsidP="004D17BD">
            <w:pPr>
              <w:tabs>
                <w:tab w:val="left" w:pos="1418"/>
              </w:tabs>
              <w:jc w:val="both"/>
              <w:rPr>
                <w:rFonts w:eastAsia="Calibri"/>
                <w:bCs/>
                <w:lang w:eastAsia="en-US"/>
              </w:rPr>
            </w:pPr>
            <w:r w:rsidRPr="004D17BD">
              <w:rPr>
                <w:rFonts w:eastAsia="Calibri"/>
                <w:bCs/>
                <w:lang w:eastAsia="en-US"/>
              </w:rPr>
              <w:t>Согласно ст</w:t>
            </w:r>
            <w:r w:rsidR="00264E4D">
              <w:rPr>
                <w:rFonts w:eastAsia="Calibri"/>
                <w:bCs/>
                <w:lang w:eastAsia="en-US"/>
              </w:rPr>
              <w:t xml:space="preserve">атьи </w:t>
            </w:r>
            <w:r w:rsidRPr="004D17BD">
              <w:rPr>
                <w:rFonts w:eastAsia="Calibri"/>
                <w:bCs/>
                <w:lang w:eastAsia="en-US"/>
              </w:rPr>
              <w:t xml:space="preserve">43 ГрК РФ подготовка проекта межевания территории осуществляется </w:t>
            </w:r>
            <w:proofErr w:type="gramStart"/>
            <w:r w:rsidRPr="004D17BD">
              <w:rPr>
                <w:rFonts w:eastAsia="Calibri"/>
                <w:bCs/>
                <w:lang w:eastAsia="en-US"/>
              </w:rPr>
              <w:t>для</w:t>
            </w:r>
            <w:proofErr w:type="gramEnd"/>
            <w:r w:rsidRPr="004D17BD">
              <w:rPr>
                <w:rFonts w:eastAsia="Calibri"/>
                <w:bCs/>
                <w:lang w:eastAsia="en-US"/>
              </w:rPr>
              <w:t>:</w:t>
            </w:r>
          </w:p>
          <w:p w14:paraId="09A4E32C" w14:textId="77777777" w:rsidR="004D17BD" w:rsidRPr="004D17BD" w:rsidRDefault="004D17BD" w:rsidP="004D17BD">
            <w:pPr>
              <w:tabs>
                <w:tab w:val="left" w:pos="1418"/>
              </w:tabs>
              <w:jc w:val="both"/>
              <w:rPr>
                <w:rFonts w:eastAsia="Calibri"/>
                <w:bCs/>
                <w:lang w:eastAsia="en-US"/>
              </w:rPr>
            </w:pPr>
            <w:r w:rsidRPr="004D17BD">
              <w:rPr>
                <w:rFonts w:eastAsia="Calibri"/>
                <w:bCs/>
                <w:lang w:eastAsia="en-US"/>
              </w:rPr>
              <w:t>1) определения местоположения границ образуемых и изменяемых земельных участков;</w:t>
            </w:r>
          </w:p>
          <w:p w14:paraId="15ABCC81" w14:textId="77777777" w:rsidR="004D17BD" w:rsidRPr="004D17BD" w:rsidRDefault="004D17BD" w:rsidP="004D17BD">
            <w:pPr>
              <w:tabs>
                <w:tab w:val="left" w:pos="1418"/>
              </w:tabs>
              <w:jc w:val="both"/>
              <w:rPr>
                <w:rFonts w:eastAsia="Calibri"/>
                <w:bCs/>
                <w:lang w:eastAsia="en-US"/>
              </w:rPr>
            </w:pPr>
            <w:r w:rsidRPr="004D17BD">
              <w:rPr>
                <w:rFonts w:eastAsia="Calibri"/>
                <w:bCs/>
                <w:lang w:eastAsia="en-US"/>
              </w:rPr>
              <w:t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 территории общего пользования.</w:t>
            </w:r>
          </w:p>
          <w:p w14:paraId="7AD12935" w14:textId="318F18D5" w:rsidR="004D17BD" w:rsidRPr="004D17BD" w:rsidRDefault="004D17BD" w:rsidP="004D17BD">
            <w:pPr>
              <w:tabs>
                <w:tab w:val="left" w:pos="1418"/>
              </w:tabs>
              <w:jc w:val="both"/>
              <w:rPr>
                <w:rFonts w:eastAsia="Calibri"/>
                <w:bCs/>
                <w:lang w:eastAsia="en-US"/>
              </w:rPr>
            </w:pPr>
            <w:r w:rsidRPr="004D17BD">
              <w:rPr>
                <w:rFonts w:eastAsia="Calibri"/>
                <w:bCs/>
                <w:lang w:eastAsia="en-US"/>
              </w:rPr>
              <w:lastRenderedPageBreak/>
              <w:t>В соответс</w:t>
            </w:r>
            <w:r>
              <w:rPr>
                <w:rFonts w:eastAsia="Calibri"/>
                <w:bCs/>
                <w:lang w:eastAsia="en-US"/>
              </w:rPr>
              <w:t>твии с п.4 частью 1 статьи 36 Жилищного кодекса</w:t>
            </w:r>
            <w:r w:rsidRPr="004D17BD">
              <w:rPr>
                <w:rFonts w:eastAsia="Calibri"/>
                <w:bCs/>
                <w:lang w:eastAsia="en-US"/>
              </w:rPr>
              <w:t xml:space="preserve"> РФ собственникам помещений в многоквартирном доме принадлежит на праве общей долевой собственности общее имущество в многоквартирном доме, в том числе земельный участок, на котором расположен данный дом, с элементами озеленения и благоустройства, иные предназначенные для обслуживания, эксплуатации и благоустройства данного дома и расположенные на указанном земельном участке объекты. Границы и размер земельного участка, на котором расположен многоквартирный дом, определяются в соответствии с требованиями земельного законодательства и законодательства о градостроительной деятельности.</w:t>
            </w:r>
          </w:p>
          <w:p w14:paraId="4526C6DF" w14:textId="59B87174" w:rsidR="004D17BD" w:rsidRPr="004D17BD" w:rsidRDefault="004D17BD" w:rsidP="004D17BD">
            <w:pPr>
              <w:tabs>
                <w:tab w:val="left" w:pos="1418"/>
              </w:tabs>
              <w:jc w:val="both"/>
              <w:rPr>
                <w:rFonts w:eastAsia="Calibri"/>
                <w:bCs/>
                <w:lang w:eastAsia="en-US"/>
              </w:rPr>
            </w:pPr>
            <w:r w:rsidRPr="004D17BD">
              <w:rPr>
                <w:rFonts w:eastAsia="Calibri"/>
                <w:bCs/>
                <w:lang w:eastAsia="en-US"/>
              </w:rPr>
              <w:t xml:space="preserve">В соответствии с п.2 Постановления Правительства РФ от 13.08.2006 </w:t>
            </w:r>
            <w:r w:rsidR="00FC4C53">
              <w:rPr>
                <w:rFonts w:eastAsia="Calibri"/>
                <w:bCs/>
                <w:lang w:eastAsia="en-US"/>
              </w:rPr>
              <w:t xml:space="preserve">№ </w:t>
            </w:r>
            <w:r w:rsidRPr="004D17BD">
              <w:rPr>
                <w:rFonts w:eastAsia="Calibri"/>
                <w:bCs/>
                <w:lang w:eastAsia="en-US"/>
              </w:rPr>
              <w:t>491 (ред. от 29.06.2020) "Об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продолжительность", в состав общего имущества включаются в том числе:</w:t>
            </w:r>
          </w:p>
          <w:p w14:paraId="7BA83326" w14:textId="49C2B1A1" w:rsidR="004D17BD" w:rsidRPr="004D17BD" w:rsidRDefault="00FC4C53" w:rsidP="004D17BD">
            <w:pPr>
              <w:tabs>
                <w:tab w:val="left" w:pos="1418"/>
              </w:tabs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-</w:t>
            </w:r>
            <w:r w:rsidR="004D17BD" w:rsidRPr="004D17BD">
              <w:rPr>
                <w:rFonts w:eastAsia="Calibri"/>
                <w:bCs/>
                <w:lang w:eastAsia="en-US"/>
              </w:rPr>
              <w:t>земельный участок, на котором расположен многоквартирный дом и границы которого определены на основании данных государственного кадастрового учета, с элементами озеленения и благоустройства;</w:t>
            </w:r>
          </w:p>
          <w:p w14:paraId="5E6FDA56" w14:textId="64F76341" w:rsidR="004D17BD" w:rsidRPr="004D17BD" w:rsidRDefault="00FC4C53" w:rsidP="004D17BD">
            <w:pPr>
              <w:tabs>
                <w:tab w:val="left" w:pos="1418"/>
              </w:tabs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-</w:t>
            </w:r>
            <w:r w:rsidR="004D17BD" w:rsidRPr="004D17BD">
              <w:rPr>
                <w:rFonts w:eastAsia="Calibri"/>
                <w:bCs/>
                <w:lang w:eastAsia="en-US"/>
              </w:rPr>
              <w:t>иные объекты, предназначенные для обслуживания, эксплуатации и благоустройства многоквартирного дома, включая трансформаторные подстанции, тепловые пункты, предназначенные для обслуживания одного многоквартирного дома, коллективные автостоянки, гаражи, детские и спортивные площадки, расположенные в границах земельного участка, на котором</w:t>
            </w:r>
            <w:r w:rsidR="00087225">
              <w:rPr>
                <w:rFonts w:eastAsia="Calibri"/>
                <w:bCs/>
                <w:lang w:eastAsia="en-US"/>
              </w:rPr>
              <w:t xml:space="preserve"> расположен многоквартирный дом</w:t>
            </w:r>
            <w:r w:rsidR="004D17BD" w:rsidRPr="004D17BD">
              <w:rPr>
                <w:rFonts w:eastAsia="Calibri"/>
                <w:bCs/>
                <w:lang w:eastAsia="en-US"/>
              </w:rPr>
              <w:t>.</w:t>
            </w:r>
          </w:p>
          <w:p w14:paraId="656543D4" w14:textId="62F7FB48" w:rsidR="005164C7" w:rsidRDefault="005164C7" w:rsidP="005164C7">
            <w:pPr>
              <w:tabs>
                <w:tab w:val="left" w:pos="1418"/>
              </w:tabs>
              <w:ind w:firstLine="567"/>
              <w:jc w:val="both"/>
              <w:rPr>
                <w:rFonts w:eastAsia="Calibri"/>
                <w:bCs/>
                <w:lang w:eastAsia="en-US"/>
              </w:rPr>
            </w:pPr>
            <w:r w:rsidRPr="005164C7">
              <w:rPr>
                <w:rFonts w:eastAsia="Calibri"/>
                <w:bCs/>
                <w:lang w:eastAsia="en-US"/>
              </w:rPr>
              <w:t>При определении границ земельного участка предусмотрено включение в его границы всех необходимых для функционирования объекта недвижимого имущества элементов терри</w:t>
            </w:r>
            <w:r w:rsidR="00115FA1">
              <w:rPr>
                <w:rFonts w:eastAsia="Calibri"/>
                <w:bCs/>
                <w:lang w:eastAsia="en-US"/>
              </w:rPr>
              <w:t>тории: территории под застройку;</w:t>
            </w:r>
            <w:r w:rsidRPr="005164C7">
              <w:rPr>
                <w:rFonts w:eastAsia="Calibri"/>
                <w:bCs/>
                <w:lang w:eastAsia="en-US"/>
              </w:rPr>
              <w:t xml:space="preserve"> проезды и пешеходные проходы, </w:t>
            </w:r>
            <w:r w:rsidR="00115FA1">
              <w:rPr>
                <w:rFonts w:eastAsia="Calibri"/>
                <w:bCs/>
                <w:lang w:eastAsia="en-US"/>
              </w:rPr>
              <w:t>ведущие к зданиям и сооружениям;</w:t>
            </w:r>
            <w:r w:rsidRPr="005164C7">
              <w:rPr>
                <w:rFonts w:eastAsia="Calibri"/>
                <w:bCs/>
                <w:lang w:eastAsia="en-US"/>
              </w:rPr>
              <w:t xml:space="preserve"> </w:t>
            </w:r>
            <w:r w:rsidRPr="005164C7">
              <w:rPr>
                <w:rFonts w:eastAsia="Calibri"/>
                <w:bCs/>
                <w:lang w:eastAsia="en-US"/>
              </w:rPr>
              <w:lastRenderedPageBreak/>
              <w:t>открытые гостевые стоянки, а также стоянки для хранения и временной парковки автомобилей; территории придомового озе</w:t>
            </w:r>
            <w:r w:rsidR="00246B1E">
              <w:rPr>
                <w:rFonts w:eastAsia="Calibri"/>
                <w:bCs/>
                <w:lang w:eastAsia="en-US"/>
              </w:rPr>
              <w:t>ленения</w:t>
            </w:r>
            <w:r w:rsidRPr="005164C7">
              <w:rPr>
                <w:rFonts w:eastAsia="Calibri"/>
                <w:bCs/>
                <w:lang w:eastAsia="en-US"/>
              </w:rPr>
              <w:t>, площадки общего пользования, хозяйственные площадки и т.п.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</w:p>
          <w:p w14:paraId="0E12D9DC" w14:textId="606AC05F" w:rsidR="005164C7" w:rsidRDefault="005164C7" w:rsidP="005164C7">
            <w:pPr>
              <w:tabs>
                <w:tab w:val="left" w:pos="1418"/>
              </w:tabs>
              <w:ind w:firstLine="567"/>
              <w:jc w:val="both"/>
              <w:rPr>
                <w:rFonts w:eastAsia="Calibri"/>
                <w:bCs/>
                <w:lang w:eastAsia="en-US"/>
              </w:rPr>
            </w:pPr>
            <w:r w:rsidRPr="005164C7">
              <w:rPr>
                <w:rFonts w:eastAsia="Calibri"/>
                <w:bCs/>
                <w:lang w:eastAsia="en-US"/>
              </w:rPr>
              <w:t xml:space="preserve">Расчет участков под объекты и проверка на соответствие градостроительным регламентам производились в соответствии с </w:t>
            </w:r>
            <w:r w:rsidR="00FC4C53">
              <w:rPr>
                <w:rFonts w:eastAsia="Calibri"/>
                <w:bCs/>
                <w:lang w:eastAsia="en-US"/>
              </w:rPr>
              <w:t>Правилами землепользования и застройки территории города</w:t>
            </w:r>
            <w:r w:rsidRPr="005164C7">
              <w:rPr>
                <w:rFonts w:eastAsia="Calibri"/>
                <w:bCs/>
                <w:lang w:eastAsia="en-US"/>
              </w:rPr>
              <w:t>. Для территориальн</w:t>
            </w:r>
            <w:r>
              <w:rPr>
                <w:rFonts w:eastAsia="Calibri"/>
                <w:bCs/>
                <w:lang w:eastAsia="en-US"/>
              </w:rPr>
              <w:t>ой</w:t>
            </w:r>
            <w:r w:rsidRPr="005164C7">
              <w:rPr>
                <w:rFonts w:eastAsia="Calibri"/>
                <w:bCs/>
                <w:lang w:eastAsia="en-US"/>
              </w:rPr>
              <w:t xml:space="preserve"> зон</w:t>
            </w:r>
            <w:r>
              <w:rPr>
                <w:rFonts w:eastAsia="Calibri"/>
                <w:bCs/>
                <w:lang w:eastAsia="en-US"/>
              </w:rPr>
              <w:t>ы</w:t>
            </w:r>
            <w:r w:rsidR="00246B1E">
              <w:rPr>
                <w:rFonts w:eastAsia="Calibri"/>
                <w:bCs/>
                <w:lang w:eastAsia="en-US"/>
              </w:rPr>
              <w:t xml:space="preserve"> Ж.3</w:t>
            </w:r>
            <w:r w:rsidRPr="005164C7">
              <w:rPr>
                <w:rFonts w:eastAsia="Calibri"/>
                <w:bCs/>
                <w:lang w:eastAsia="en-US"/>
              </w:rPr>
              <w:t xml:space="preserve"> установлены следующие регламенты:</w:t>
            </w:r>
            <w:r w:rsidR="00246B1E">
              <w:rPr>
                <w:rFonts w:eastAsia="Calibri"/>
                <w:bCs/>
                <w:lang w:eastAsia="en-US"/>
              </w:rPr>
              <w:t xml:space="preserve"> </w:t>
            </w:r>
            <w:r w:rsidR="00246B1E" w:rsidRPr="00246B1E">
              <w:rPr>
                <w:rFonts w:eastAsia="Calibri"/>
                <w:bCs/>
                <w:lang w:eastAsia="en-US"/>
              </w:rPr>
              <w:t>максимальный процент застройки</w:t>
            </w:r>
            <w:r w:rsidR="00246B1E">
              <w:rPr>
                <w:rFonts w:eastAsia="Calibri"/>
                <w:bCs/>
                <w:lang w:eastAsia="en-US"/>
              </w:rPr>
              <w:t xml:space="preserve"> в границах земельного участка 45</w:t>
            </w:r>
            <w:r w:rsidR="00246B1E" w:rsidRPr="00246B1E">
              <w:rPr>
                <w:rFonts w:eastAsia="Calibri"/>
                <w:bCs/>
                <w:lang w:eastAsia="en-US"/>
              </w:rPr>
              <w:t>%</w:t>
            </w:r>
            <w:r w:rsidR="00246B1E">
              <w:rPr>
                <w:rFonts w:eastAsia="Calibri"/>
                <w:bCs/>
                <w:lang w:eastAsia="en-US"/>
              </w:rPr>
              <w:t>.</w:t>
            </w:r>
          </w:p>
          <w:p w14:paraId="5E7DAC5A" w14:textId="77777777" w:rsidR="002411C1" w:rsidRDefault="005164C7" w:rsidP="00AC146A">
            <w:pPr>
              <w:tabs>
                <w:tab w:val="left" w:pos="1418"/>
              </w:tabs>
              <w:ind w:firstLine="567"/>
              <w:jc w:val="both"/>
              <w:rPr>
                <w:szCs w:val="20"/>
              </w:rPr>
            </w:pPr>
            <w:r>
              <w:rPr>
                <w:rFonts w:eastAsia="Calibri"/>
                <w:bCs/>
                <w:lang w:eastAsia="en-US"/>
              </w:rPr>
              <w:t>Таким образом</w:t>
            </w:r>
            <w:r w:rsidR="00FC4C53">
              <w:rPr>
                <w:rFonts w:eastAsia="Calibri"/>
                <w:bCs/>
                <w:lang w:eastAsia="en-US"/>
              </w:rPr>
              <w:t>,</w:t>
            </w:r>
            <w:r>
              <w:rPr>
                <w:rFonts w:eastAsia="Calibri"/>
                <w:bCs/>
                <w:lang w:eastAsia="en-US"/>
              </w:rPr>
              <w:t xml:space="preserve"> р</w:t>
            </w:r>
            <w:r w:rsidRPr="00011A28">
              <w:rPr>
                <w:szCs w:val="20"/>
              </w:rPr>
              <w:t>азмеры земельных участков определяются в соответствии с местными нормативами градостроительного проектирования города Нефтеюганска; региональными норматив</w:t>
            </w:r>
            <w:r>
              <w:rPr>
                <w:szCs w:val="20"/>
              </w:rPr>
              <w:t>ами ХМАО-Югры; СП 42.13330.2016.</w:t>
            </w:r>
          </w:p>
          <w:p w14:paraId="4F166FB6" w14:textId="73680781" w:rsidR="00ED5076" w:rsidRPr="00AC146A" w:rsidRDefault="00ED5076" w:rsidP="00ED5076">
            <w:pPr>
              <w:tabs>
                <w:tab w:val="left" w:pos="1418"/>
              </w:tabs>
              <w:ind w:firstLine="567"/>
              <w:jc w:val="both"/>
              <w:rPr>
                <w:szCs w:val="20"/>
              </w:rPr>
            </w:pPr>
          </w:p>
        </w:tc>
      </w:tr>
      <w:tr w:rsidR="0013268F" w14:paraId="238A02AC" w14:textId="77777777" w:rsidTr="00AC146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58A11" w14:textId="2D1418C1" w:rsidR="0013268F" w:rsidRDefault="0013268F" w:rsidP="0013268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E91E8" w14:textId="01989CAC" w:rsidR="0013268F" w:rsidRPr="00C25585" w:rsidRDefault="00D5679B" w:rsidP="0013268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4376" w14:textId="3445DC85" w:rsidR="0013268F" w:rsidRDefault="00357216" w:rsidP="0013268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Увеличение земельного участка ТЦ </w:t>
            </w:r>
            <w:proofErr w:type="spellStart"/>
            <w:r>
              <w:rPr>
                <w:sz w:val="22"/>
                <w:szCs w:val="22"/>
                <w:lang w:eastAsia="en-US"/>
              </w:rPr>
              <w:t>Привозъ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 сторону об</w:t>
            </w:r>
            <w:r w:rsidR="002C5BB9">
              <w:rPr>
                <w:sz w:val="22"/>
                <w:szCs w:val="22"/>
                <w:lang w:eastAsia="en-US"/>
              </w:rPr>
              <w:t xml:space="preserve">щежития до полотна </w:t>
            </w:r>
            <w:proofErr w:type="spellStart"/>
            <w:r w:rsidR="002C5BB9">
              <w:rPr>
                <w:sz w:val="22"/>
                <w:szCs w:val="22"/>
                <w:lang w:eastAsia="en-US"/>
              </w:rPr>
              <w:t>проезж.части</w:t>
            </w:r>
            <w:proofErr w:type="spellEnd"/>
          </w:p>
          <w:p w14:paraId="26A2E595" w14:textId="489831E1" w:rsidR="002C5BB9" w:rsidRPr="00C25585" w:rsidRDefault="002C5BB9" w:rsidP="0013268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43C9" w14:textId="7EEFFE57" w:rsidR="00246B1E" w:rsidRDefault="00246B1E" w:rsidP="00246B1E">
            <w:pPr>
              <w:spacing w:line="256" w:lineRule="auto"/>
              <w:jc w:val="both"/>
            </w:pPr>
            <w:r>
              <w:rPr>
                <w:rFonts w:eastAsia="Calibri"/>
                <w:bCs/>
                <w:lang w:eastAsia="en-US"/>
              </w:rPr>
              <w:t xml:space="preserve">Замечание не принимается. </w:t>
            </w:r>
            <w:r w:rsidRPr="00A065DC">
              <w:rPr>
                <w:lang w:eastAsia="en-US"/>
              </w:rPr>
              <w:t xml:space="preserve">Увеличение земельного участка ТЦ </w:t>
            </w:r>
            <w:proofErr w:type="spellStart"/>
            <w:r w:rsidRPr="00A065DC">
              <w:rPr>
                <w:lang w:eastAsia="en-US"/>
              </w:rPr>
              <w:t>Привозъ</w:t>
            </w:r>
            <w:proofErr w:type="spellEnd"/>
            <w:r w:rsidRPr="00A065DC">
              <w:rPr>
                <w:lang w:eastAsia="en-US"/>
              </w:rPr>
              <w:t xml:space="preserve"> в сторону общежития до полотна проезжей части не предоставляется возможным, так как</w:t>
            </w:r>
            <w:r w:rsidR="00A065DC">
              <w:rPr>
                <w:lang w:eastAsia="en-US"/>
              </w:rPr>
              <w:t xml:space="preserve"> проектом планируется расширение проезжей части до двух полос</w:t>
            </w:r>
            <w:r w:rsidR="00423E46">
              <w:rPr>
                <w:lang w:eastAsia="en-US"/>
              </w:rPr>
              <w:t xml:space="preserve">, при этом необходимо учесть </w:t>
            </w:r>
            <w:r w:rsidR="00423E46">
              <w:t>р</w:t>
            </w:r>
            <w:r w:rsidR="00423E46" w:rsidRPr="00C9550D">
              <w:t xml:space="preserve">асчетные показатели минимально допустимого уровня радиусов закругления </w:t>
            </w:r>
            <w:r w:rsidR="00423E46">
              <w:t>проезжей части дорог (согласно местным нормативам минимум 5 м.). Согласно примечани</w:t>
            </w:r>
            <w:r w:rsidR="00F867D8">
              <w:t>ю</w:t>
            </w:r>
            <w:r w:rsidR="00423E46">
              <w:t xml:space="preserve">, </w:t>
            </w:r>
            <w:r w:rsidR="00423E46" w:rsidRPr="00423E46">
              <w:t>в случае применения минимальных радиусов закругления ширину проезжей части улиц и дорог следует увеличивать на 1 м на каждую полосу движения за счет боковых полос или уширения с внешней стороны.</w:t>
            </w:r>
          </w:p>
          <w:p w14:paraId="2CA5807D" w14:textId="77777777" w:rsidR="0013268F" w:rsidRDefault="00423E46" w:rsidP="002E5043">
            <w:pPr>
              <w:spacing w:line="256" w:lineRule="auto"/>
              <w:jc w:val="both"/>
            </w:pPr>
            <w:r>
              <w:t>Также необходим доступ к сетям</w:t>
            </w:r>
            <w:r w:rsidR="002E5043">
              <w:t xml:space="preserve"> водоотведения и теплоснабжения для их обслуживания.</w:t>
            </w:r>
          </w:p>
          <w:p w14:paraId="643EFB2C" w14:textId="77777777" w:rsidR="004C653B" w:rsidRDefault="004C653B" w:rsidP="002E5043">
            <w:pPr>
              <w:spacing w:line="256" w:lineRule="auto"/>
              <w:jc w:val="both"/>
            </w:pPr>
          </w:p>
          <w:p w14:paraId="524E5E71" w14:textId="56789C70" w:rsidR="004C653B" w:rsidRDefault="004C653B" w:rsidP="002E5043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13268F" w14:paraId="6AAC41CD" w14:textId="77777777" w:rsidTr="00AC146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47F4" w14:textId="6D654FFA" w:rsidR="0013268F" w:rsidRDefault="0013268F" w:rsidP="0013268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A2AB2" w14:textId="630C004F" w:rsidR="0013268F" w:rsidRDefault="0013268F" w:rsidP="0013268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AE348" w14:textId="77777777" w:rsidR="0013268F" w:rsidRDefault="00D5679B" w:rsidP="002C5BB9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Оставить ЗОП за обслуживанием городских служб</w:t>
            </w:r>
          </w:p>
          <w:p w14:paraId="1DA493FB" w14:textId="772998E1" w:rsidR="002C5BB9" w:rsidRPr="00C25585" w:rsidRDefault="002C5BB9" w:rsidP="002C5BB9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FFAF" w14:textId="77777777" w:rsidR="00B7739B" w:rsidRDefault="00B7739B" w:rsidP="00495CCB">
            <w:pPr>
              <w:spacing w:line="256" w:lineRule="auto"/>
              <w:jc w:val="both"/>
              <w:rPr>
                <w:rFonts w:eastAsia="Calibri"/>
                <w:bCs/>
                <w:lang w:eastAsia="en-US"/>
              </w:rPr>
            </w:pPr>
          </w:p>
          <w:p w14:paraId="1959CD9E" w14:textId="1E71EEDB" w:rsidR="0013268F" w:rsidRDefault="00B7739B" w:rsidP="00495CCB">
            <w:pPr>
              <w:spacing w:line="25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</w:t>
            </w:r>
            <w:r w:rsidR="002E5043">
              <w:rPr>
                <w:rFonts w:eastAsia="Calibri"/>
                <w:bCs/>
                <w:lang w:eastAsia="en-US"/>
              </w:rPr>
              <w:t>амечание не принимается. Смотреть пункт 1.</w:t>
            </w:r>
          </w:p>
          <w:p w14:paraId="5E7CB063" w14:textId="77777777" w:rsidR="00B7739B" w:rsidRDefault="00B7739B" w:rsidP="00495CCB">
            <w:pPr>
              <w:spacing w:line="256" w:lineRule="auto"/>
              <w:jc w:val="both"/>
              <w:rPr>
                <w:lang w:eastAsia="en-US"/>
              </w:rPr>
            </w:pPr>
          </w:p>
          <w:p w14:paraId="4DCDC931" w14:textId="233E1A29" w:rsidR="00B7739B" w:rsidRDefault="00B7739B" w:rsidP="00495CCB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D5679B" w14:paraId="7C1FC2FB" w14:textId="77777777" w:rsidTr="00AC146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31B9" w14:textId="69882492" w:rsidR="00D5679B" w:rsidRDefault="00D5679B" w:rsidP="0013268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3364" w14:textId="56BF268F" w:rsidR="00D5679B" w:rsidRDefault="00D5679B" w:rsidP="0013268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DF815" w14:textId="77777777" w:rsidR="00D5679B" w:rsidRPr="00102A30" w:rsidRDefault="00D5679B" w:rsidP="0013268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102A30">
              <w:rPr>
                <w:sz w:val="22"/>
                <w:szCs w:val="22"/>
                <w:lang w:eastAsia="en-US"/>
              </w:rPr>
              <w:t>Уточнить пути образования земельных участков</w:t>
            </w:r>
          </w:p>
          <w:p w14:paraId="3AFE4B1C" w14:textId="7E371F01" w:rsidR="002C5BB9" w:rsidRPr="00102A30" w:rsidRDefault="002C5BB9" w:rsidP="0013268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4B76" w14:textId="57DA08EC" w:rsidR="00B7739B" w:rsidRPr="00732820" w:rsidRDefault="00102A30" w:rsidP="00B7739B">
            <w:pPr>
              <w:spacing w:line="256" w:lineRule="auto"/>
              <w:jc w:val="both"/>
              <w:rPr>
                <w:color w:val="FF0000"/>
                <w:highlight w:val="yellow"/>
                <w:lang w:eastAsia="en-US"/>
              </w:rPr>
            </w:pPr>
            <w:r w:rsidRPr="00102A30">
              <w:rPr>
                <w:rFonts w:eastAsia="Calibri"/>
                <w:bCs/>
                <w:lang w:eastAsia="en-US"/>
              </w:rPr>
              <w:t>Замечание исправлено</w:t>
            </w:r>
            <w:r w:rsidR="00DD371A" w:rsidRPr="00102A30">
              <w:rPr>
                <w:rFonts w:eastAsia="Calibri"/>
                <w:bCs/>
                <w:lang w:eastAsia="en-US"/>
              </w:rPr>
              <w:t xml:space="preserve">. </w:t>
            </w:r>
            <w:r>
              <w:rPr>
                <w:rFonts w:eastAsia="Calibri"/>
                <w:bCs/>
                <w:lang w:eastAsia="en-US"/>
              </w:rPr>
              <w:t xml:space="preserve">Изменена форма образования земельного участка :ЗУ30. </w:t>
            </w:r>
          </w:p>
        </w:tc>
      </w:tr>
      <w:tr w:rsidR="00830B34" w14:paraId="6ABF0BAA" w14:textId="77777777" w:rsidTr="00AC146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21648" w14:textId="3E2F5EBC" w:rsidR="00830B34" w:rsidRDefault="00830B34" w:rsidP="0013268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D83B9" w14:textId="3A52344E" w:rsidR="00830B34" w:rsidRDefault="00830B34" w:rsidP="0013268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F692" w14:textId="77777777" w:rsidR="00830B34" w:rsidRPr="00DA2BFC" w:rsidRDefault="00830B34" w:rsidP="0013268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DA2BFC">
              <w:rPr>
                <w:sz w:val="22"/>
                <w:szCs w:val="22"/>
                <w:lang w:eastAsia="en-US"/>
              </w:rPr>
              <w:t>Учесть существующие зоны (охранные) сетей газоснабжения</w:t>
            </w:r>
          </w:p>
          <w:p w14:paraId="0283398F" w14:textId="5C07216F" w:rsidR="002C5BB9" w:rsidRPr="00DA2BFC" w:rsidRDefault="002C5BB9" w:rsidP="0013268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7E84" w14:textId="77777777" w:rsidR="00830B34" w:rsidRDefault="00F867D8" w:rsidP="00F867D8">
            <w:pPr>
              <w:spacing w:line="256" w:lineRule="auto"/>
              <w:jc w:val="both"/>
              <w:rPr>
                <w:lang w:eastAsia="en-US"/>
              </w:rPr>
            </w:pPr>
            <w:r w:rsidRPr="00DA2BFC">
              <w:rPr>
                <w:lang w:eastAsia="en-US"/>
              </w:rPr>
              <w:t xml:space="preserve">Замечание исправлено. Откорректировано условное обозначение на схеме ППТ.МОП-3. Исключены парковочные места, попадающие в существующую охранную зону сетей газоснабжения. </w:t>
            </w:r>
          </w:p>
          <w:p w14:paraId="3C324F37" w14:textId="77777777" w:rsidR="00B7739B" w:rsidRDefault="00B7739B" w:rsidP="00F867D8">
            <w:pPr>
              <w:spacing w:line="256" w:lineRule="auto"/>
              <w:jc w:val="both"/>
              <w:rPr>
                <w:lang w:eastAsia="en-US"/>
              </w:rPr>
            </w:pPr>
          </w:p>
          <w:p w14:paraId="7F43E542" w14:textId="7418B041" w:rsidR="00B7739B" w:rsidRPr="00DA2BFC" w:rsidRDefault="00B7739B" w:rsidP="00F867D8">
            <w:pPr>
              <w:spacing w:line="256" w:lineRule="auto"/>
              <w:jc w:val="both"/>
              <w:rPr>
                <w:highlight w:val="yellow"/>
                <w:lang w:eastAsia="en-US"/>
              </w:rPr>
            </w:pPr>
          </w:p>
        </w:tc>
      </w:tr>
      <w:tr w:rsidR="00AC146A" w14:paraId="047B3D01" w14:textId="77777777" w:rsidTr="00AC146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BFE6" w14:textId="06E00F48" w:rsidR="00AC146A" w:rsidRDefault="00AC146A" w:rsidP="00AC146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AFBF" w14:textId="5CB6EE4F" w:rsidR="00AC146A" w:rsidRDefault="00AC146A" w:rsidP="00AC146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A410B" w14:textId="77777777" w:rsidR="00AC146A" w:rsidRPr="00102A30" w:rsidRDefault="00AC146A" w:rsidP="00AC146A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102A30">
              <w:rPr>
                <w:sz w:val="22"/>
                <w:szCs w:val="22"/>
                <w:lang w:eastAsia="en-US"/>
              </w:rPr>
              <w:t>Уточнить пути образования земельных участков</w:t>
            </w:r>
          </w:p>
          <w:p w14:paraId="0F3B2062" w14:textId="70E12C88" w:rsidR="00AC146A" w:rsidRPr="00732820" w:rsidRDefault="00AC146A" w:rsidP="00AC146A">
            <w:pPr>
              <w:spacing w:line="256" w:lineRule="auto"/>
              <w:jc w:val="both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D2D6" w14:textId="77777777" w:rsidR="00AC146A" w:rsidRDefault="00102A30" w:rsidP="00AC146A">
            <w:pPr>
              <w:spacing w:line="256" w:lineRule="auto"/>
              <w:jc w:val="both"/>
              <w:rPr>
                <w:rFonts w:eastAsia="Calibri"/>
                <w:bCs/>
                <w:lang w:eastAsia="en-US"/>
              </w:rPr>
            </w:pPr>
            <w:r w:rsidRPr="00102A30">
              <w:rPr>
                <w:rFonts w:eastAsia="Calibri"/>
                <w:bCs/>
                <w:lang w:eastAsia="en-US"/>
              </w:rPr>
              <w:t xml:space="preserve">Замечание исправлено. </w:t>
            </w:r>
            <w:r>
              <w:rPr>
                <w:rFonts w:eastAsia="Calibri"/>
                <w:bCs/>
                <w:lang w:eastAsia="en-US"/>
              </w:rPr>
              <w:t xml:space="preserve">Изменена форма образования земельного участка </w:t>
            </w:r>
            <w:proofErr w:type="gramStart"/>
            <w:r>
              <w:rPr>
                <w:rFonts w:eastAsia="Calibri"/>
                <w:bCs/>
                <w:lang w:eastAsia="en-US"/>
              </w:rPr>
              <w:t>:З</w:t>
            </w:r>
            <w:proofErr w:type="gramEnd"/>
            <w:r>
              <w:rPr>
                <w:rFonts w:eastAsia="Calibri"/>
                <w:bCs/>
                <w:lang w:eastAsia="en-US"/>
              </w:rPr>
              <w:t>У30.</w:t>
            </w:r>
          </w:p>
          <w:p w14:paraId="6D463E1F" w14:textId="77777777" w:rsidR="00B7739B" w:rsidRDefault="00B7739B" w:rsidP="00AC146A">
            <w:pPr>
              <w:spacing w:line="256" w:lineRule="auto"/>
              <w:jc w:val="both"/>
              <w:rPr>
                <w:rFonts w:eastAsia="Calibri"/>
                <w:bCs/>
                <w:lang w:eastAsia="en-US"/>
              </w:rPr>
            </w:pPr>
          </w:p>
          <w:p w14:paraId="6A561BF4" w14:textId="142160C3" w:rsidR="00B7739B" w:rsidRPr="00732820" w:rsidRDefault="00B7739B" w:rsidP="00AC146A">
            <w:pPr>
              <w:spacing w:line="256" w:lineRule="auto"/>
              <w:jc w:val="both"/>
              <w:rPr>
                <w:color w:val="FF0000"/>
                <w:highlight w:val="yellow"/>
                <w:lang w:eastAsia="en-US"/>
              </w:rPr>
            </w:pPr>
          </w:p>
        </w:tc>
      </w:tr>
      <w:tr w:rsidR="00AC146A" w14:paraId="469A7873" w14:textId="77777777" w:rsidTr="00AC146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5505D" w14:textId="389CC008" w:rsidR="00AC146A" w:rsidRDefault="00131C05" w:rsidP="00AC146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AC146A">
              <w:rPr>
                <w:lang w:eastAsia="en-US"/>
              </w:rPr>
              <w:t>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8A505" w14:textId="2199FEA3" w:rsidR="00AC146A" w:rsidRPr="00922805" w:rsidRDefault="00AC146A" w:rsidP="00AC146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805">
              <w:rPr>
                <w:sz w:val="22"/>
                <w:szCs w:val="22"/>
                <w:lang w:eastAsia="en-US"/>
              </w:rPr>
              <w:t>Департамент градостроительства и земельных отношений администрации гор</w:t>
            </w:r>
            <w:r>
              <w:rPr>
                <w:sz w:val="22"/>
                <w:szCs w:val="22"/>
                <w:lang w:eastAsia="en-US"/>
              </w:rPr>
              <w:t>о</w:t>
            </w:r>
            <w:r w:rsidRPr="00922805">
              <w:rPr>
                <w:sz w:val="22"/>
                <w:szCs w:val="22"/>
                <w:lang w:eastAsia="en-US"/>
              </w:rPr>
              <w:t>да</w:t>
            </w:r>
            <w:r>
              <w:rPr>
                <w:sz w:val="22"/>
                <w:szCs w:val="22"/>
                <w:lang w:eastAsia="en-US"/>
              </w:rPr>
              <w:t xml:space="preserve"> Нефтеюганска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7958" w14:textId="77777777" w:rsidR="00AC146A" w:rsidRPr="005A4C9A" w:rsidRDefault="00AC146A" w:rsidP="00AC146A">
            <w:pPr>
              <w:spacing w:line="256" w:lineRule="auto"/>
              <w:jc w:val="both"/>
              <w:rPr>
                <w:lang w:eastAsia="en-US"/>
              </w:rPr>
            </w:pPr>
            <w:r w:rsidRPr="005A4C9A">
              <w:rPr>
                <w:lang w:eastAsia="en-US"/>
              </w:rPr>
              <w:t>1)отобразить объекты освещения (торшеры), в том числе, с учетом ПКР СИ;</w:t>
            </w:r>
          </w:p>
          <w:p w14:paraId="21C910CB" w14:textId="77777777" w:rsidR="00AC146A" w:rsidRPr="005A4C9A" w:rsidRDefault="00AC146A" w:rsidP="00AC146A">
            <w:pPr>
              <w:spacing w:line="256" w:lineRule="auto"/>
              <w:jc w:val="both"/>
              <w:rPr>
                <w:lang w:eastAsia="en-US"/>
              </w:rPr>
            </w:pPr>
            <w:r w:rsidRPr="005A4C9A">
              <w:rPr>
                <w:lang w:eastAsia="en-US"/>
              </w:rPr>
              <w:t>2)устранить разночтение в тестовой части проекта планировки (утверждаемая и обосновывающая части) касаемо информации по реконструкции системы канализации;</w:t>
            </w:r>
          </w:p>
          <w:p w14:paraId="3995FDD5" w14:textId="77777777" w:rsidR="00AC146A" w:rsidRPr="005A4C9A" w:rsidRDefault="00AC146A" w:rsidP="00AC146A">
            <w:pPr>
              <w:spacing w:line="256" w:lineRule="auto"/>
              <w:jc w:val="both"/>
              <w:rPr>
                <w:lang w:eastAsia="en-US"/>
              </w:rPr>
            </w:pPr>
            <w:r w:rsidRPr="005A4C9A">
              <w:rPr>
                <w:lang w:eastAsia="en-US"/>
              </w:rPr>
              <w:t xml:space="preserve">3)уточнить информацию по уклонам водопонижения (отметкам) по всей проектируемой территории; </w:t>
            </w:r>
          </w:p>
          <w:p w14:paraId="4A37B629" w14:textId="77777777" w:rsidR="00AC146A" w:rsidRPr="005A4C9A" w:rsidRDefault="00AC146A" w:rsidP="00AC146A">
            <w:pPr>
              <w:spacing w:line="256" w:lineRule="auto"/>
              <w:jc w:val="both"/>
              <w:rPr>
                <w:lang w:eastAsia="en-US"/>
              </w:rPr>
            </w:pPr>
            <w:r w:rsidRPr="005A4C9A">
              <w:rPr>
                <w:lang w:eastAsia="en-US"/>
              </w:rPr>
              <w:t>4)в текстовой и графической части учесть (добавить) информацию по существующим площадкам ТБО;</w:t>
            </w:r>
          </w:p>
          <w:p w14:paraId="56541E4E" w14:textId="77777777" w:rsidR="00AC146A" w:rsidRPr="005A4C9A" w:rsidRDefault="00AC146A" w:rsidP="00AC146A">
            <w:pPr>
              <w:spacing w:line="256" w:lineRule="auto"/>
              <w:jc w:val="both"/>
              <w:rPr>
                <w:lang w:eastAsia="en-US"/>
              </w:rPr>
            </w:pPr>
            <w:r w:rsidRPr="005A4C9A">
              <w:rPr>
                <w:lang w:eastAsia="en-US"/>
              </w:rPr>
              <w:t>5)в текстовой части указать реквизиты актуальной (действующей) редакции (с внесенными изменениями) документов, на основании которых подготовлена документация;</w:t>
            </w:r>
          </w:p>
          <w:p w14:paraId="741B8740" w14:textId="77777777" w:rsidR="00AC146A" w:rsidRPr="005A4C9A" w:rsidRDefault="00AC146A" w:rsidP="00AC146A">
            <w:pPr>
              <w:spacing w:line="256" w:lineRule="auto"/>
              <w:jc w:val="both"/>
              <w:rPr>
                <w:lang w:eastAsia="en-US"/>
              </w:rPr>
            </w:pPr>
            <w:r w:rsidRPr="005A4C9A">
              <w:rPr>
                <w:lang w:eastAsia="en-US"/>
              </w:rPr>
              <w:t>6)на схеме вертикальной планировки, инженерной подготовки территории и инженерной защиты территории (МОП.6) устранить несоответствие цветовой гаммы объектов многоквартирных жилых домов, объектов общественных зданий условных обозначений содержанию чертежа;</w:t>
            </w:r>
          </w:p>
          <w:p w14:paraId="5F209830" w14:textId="10D3A779" w:rsidR="00AC146A" w:rsidRPr="005A4C9A" w:rsidRDefault="00AC146A" w:rsidP="00AC146A">
            <w:pPr>
              <w:spacing w:line="256" w:lineRule="auto"/>
              <w:jc w:val="both"/>
              <w:rPr>
                <w:lang w:eastAsia="en-US"/>
              </w:rPr>
            </w:pPr>
            <w:r w:rsidRPr="005A4C9A">
              <w:rPr>
                <w:lang w:eastAsia="en-US"/>
              </w:rPr>
              <w:t>7)уточнить в текстовой обосновывающей части информацию по технико-</w:t>
            </w:r>
            <w:r w:rsidRPr="005A4C9A">
              <w:rPr>
                <w:lang w:eastAsia="en-US"/>
              </w:rPr>
              <w:lastRenderedPageBreak/>
              <w:t>экономическим параметрам площади жилой застройки по долям (с учетом увеличения площади под многоквартирными жилыми домами): До</w:t>
            </w:r>
            <w:proofErr w:type="gramStart"/>
            <w:r w:rsidRPr="005A4C9A">
              <w:rPr>
                <w:lang w:eastAsia="en-US"/>
              </w:rPr>
              <w:t xml:space="preserve"> / П</w:t>
            </w:r>
            <w:proofErr w:type="gramEnd"/>
            <w:r w:rsidRPr="005A4C9A">
              <w:rPr>
                <w:lang w:eastAsia="en-US"/>
              </w:rPr>
              <w:t xml:space="preserve">осле (проект.решения). </w:t>
            </w:r>
          </w:p>
          <w:p w14:paraId="007B3F89" w14:textId="77777777" w:rsidR="00AC146A" w:rsidRPr="005A4C9A" w:rsidRDefault="00AC146A" w:rsidP="00AC146A">
            <w:pPr>
              <w:spacing w:line="256" w:lineRule="auto"/>
              <w:jc w:val="both"/>
              <w:rPr>
                <w:lang w:eastAsia="en-US"/>
              </w:rPr>
            </w:pPr>
            <w:r w:rsidRPr="005A4C9A">
              <w:rPr>
                <w:lang w:eastAsia="en-US"/>
              </w:rPr>
              <w:t xml:space="preserve">Аналогично по площадям озеленения с твердым покрытием. </w:t>
            </w:r>
          </w:p>
          <w:p w14:paraId="276C37CB" w14:textId="46A45612" w:rsidR="00AC146A" w:rsidRPr="00922805" w:rsidRDefault="00AC146A" w:rsidP="00AC146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9E1D" w14:textId="3C24A435" w:rsidR="00AC146A" w:rsidRPr="00D12EE1" w:rsidRDefault="00AC146A" w:rsidP="004C653B">
            <w:pPr>
              <w:spacing w:line="256" w:lineRule="auto"/>
              <w:jc w:val="both"/>
              <w:rPr>
                <w:lang w:eastAsia="en-US"/>
              </w:rPr>
            </w:pPr>
            <w:r w:rsidRPr="00D12EE1">
              <w:rPr>
                <w:lang w:eastAsia="en-US"/>
              </w:rPr>
              <w:lastRenderedPageBreak/>
              <w:t xml:space="preserve">Замечание исправлено. </w:t>
            </w:r>
          </w:p>
          <w:p w14:paraId="5ADEA6AA" w14:textId="6AFED98C" w:rsidR="00AC146A" w:rsidRPr="00D12EE1" w:rsidRDefault="00AC146A" w:rsidP="00AC146A">
            <w:pPr>
              <w:pStyle w:val="a6"/>
              <w:numPr>
                <w:ilvl w:val="0"/>
                <w:numId w:val="5"/>
              </w:numPr>
              <w:spacing w:line="256" w:lineRule="auto"/>
              <w:jc w:val="both"/>
              <w:rPr>
                <w:lang w:eastAsia="en-US"/>
              </w:rPr>
            </w:pPr>
            <w:r w:rsidRPr="00D12EE1">
              <w:rPr>
                <w:lang w:eastAsia="en-US"/>
              </w:rPr>
              <w:t xml:space="preserve">Отображены линии освещения, с учетом ПКР СИ, а также по всей территории. Объекты освещения (торшеры) в проекте планировке не отображаются. </w:t>
            </w:r>
          </w:p>
          <w:p w14:paraId="67F92A64" w14:textId="25D6DCA2" w:rsidR="00AC146A" w:rsidRPr="00D12EE1" w:rsidRDefault="00AC146A" w:rsidP="00AC146A">
            <w:pPr>
              <w:pStyle w:val="a6"/>
              <w:numPr>
                <w:ilvl w:val="0"/>
                <w:numId w:val="5"/>
              </w:numPr>
              <w:spacing w:line="256" w:lineRule="auto"/>
              <w:jc w:val="both"/>
              <w:rPr>
                <w:lang w:eastAsia="en-US"/>
              </w:rPr>
            </w:pPr>
            <w:r w:rsidRPr="00D12EE1">
              <w:rPr>
                <w:lang w:eastAsia="en-US"/>
              </w:rPr>
              <w:t>Разночтение устранено.</w:t>
            </w:r>
          </w:p>
          <w:p w14:paraId="032A94B4" w14:textId="6E12D508" w:rsidR="00AC146A" w:rsidRPr="00D12EE1" w:rsidRDefault="00AC146A" w:rsidP="00AC146A">
            <w:pPr>
              <w:pStyle w:val="a6"/>
              <w:numPr>
                <w:ilvl w:val="0"/>
                <w:numId w:val="5"/>
              </w:numPr>
              <w:spacing w:line="256" w:lineRule="auto"/>
              <w:jc w:val="both"/>
              <w:rPr>
                <w:lang w:eastAsia="en-US"/>
              </w:rPr>
            </w:pPr>
            <w:r w:rsidRPr="00D12EE1">
              <w:rPr>
                <w:lang w:eastAsia="en-US"/>
              </w:rPr>
              <w:t>Уточн</w:t>
            </w:r>
            <w:r>
              <w:rPr>
                <w:lang w:eastAsia="en-US"/>
              </w:rPr>
              <w:t>ена</w:t>
            </w:r>
            <w:r w:rsidRPr="00D12EE1">
              <w:rPr>
                <w:lang w:eastAsia="en-US"/>
              </w:rPr>
              <w:t xml:space="preserve"> информаци</w:t>
            </w:r>
            <w:r>
              <w:rPr>
                <w:lang w:eastAsia="en-US"/>
              </w:rPr>
              <w:t>я</w:t>
            </w:r>
            <w:r w:rsidRPr="00D12EE1">
              <w:rPr>
                <w:lang w:eastAsia="en-US"/>
              </w:rPr>
              <w:t xml:space="preserve"> по уклонам около дома №9 и по всей территории проекта.</w:t>
            </w:r>
          </w:p>
          <w:p w14:paraId="3EE9B557" w14:textId="34621167" w:rsidR="00AC146A" w:rsidRPr="00D12EE1" w:rsidRDefault="00AC146A" w:rsidP="00AC146A">
            <w:pPr>
              <w:pStyle w:val="a6"/>
              <w:numPr>
                <w:ilvl w:val="0"/>
                <w:numId w:val="5"/>
              </w:numPr>
              <w:spacing w:line="256" w:lineRule="auto"/>
              <w:jc w:val="both"/>
              <w:rPr>
                <w:lang w:eastAsia="en-US"/>
              </w:rPr>
            </w:pPr>
            <w:r w:rsidRPr="00D12EE1">
              <w:rPr>
                <w:lang w:eastAsia="en-US"/>
              </w:rPr>
              <w:t xml:space="preserve">Информация откорректирована (количество контейнеров и месторасположение существующих площадок, перенос с учетом лучшего расположения), предусмотрена новая площадка ТКО согласно проекту «Генеральная схема санитарной очистки территории города Нефтеюганска». </w:t>
            </w:r>
          </w:p>
          <w:p w14:paraId="6D91E6F8" w14:textId="5281802B" w:rsidR="00AC146A" w:rsidRDefault="00AC146A" w:rsidP="00AC146A">
            <w:pPr>
              <w:pStyle w:val="a6"/>
              <w:numPr>
                <w:ilvl w:val="0"/>
                <w:numId w:val="5"/>
              </w:num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Откорректированы </w:t>
            </w:r>
            <w:r w:rsidRPr="005A4C9A">
              <w:rPr>
                <w:lang w:eastAsia="en-US"/>
              </w:rPr>
              <w:t>реквизиты актуальной (действующей) редакции (с внесенными изменениями) документов</w:t>
            </w:r>
            <w:r>
              <w:rPr>
                <w:lang w:eastAsia="en-US"/>
              </w:rPr>
              <w:t>.</w:t>
            </w:r>
          </w:p>
          <w:p w14:paraId="3DAAFF18" w14:textId="0C8D9EBC" w:rsidR="00AC146A" w:rsidRPr="00D12EE1" w:rsidRDefault="00AC146A" w:rsidP="00AC146A">
            <w:pPr>
              <w:pStyle w:val="a6"/>
              <w:numPr>
                <w:ilvl w:val="0"/>
                <w:numId w:val="5"/>
              </w:num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</w:t>
            </w:r>
            <w:r w:rsidRPr="00D12EE1">
              <w:rPr>
                <w:lang w:eastAsia="en-US"/>
              </w:rPr>
              <w:t>стран</w:t>
            </w:r>
            <w:r>
              <w:rPr>
                <w:lang w:eastAsia="en-US"/>
              </w:rPr>
              <w:t>ено</w:t>
            </w:r>
            <w:r w:rsidRPr="00D12EE1">
              <w:rPr>
                <w:lang w:eastAsia="en-US"/>
              </w:rPr>
              <w:t xml:space="preserve"> несоответствие цветовой гаммы</w:t>
            </w:r>
            <w:r>
              <w:rPr>
                <w:lang w:eastAsia="en-US"/>
              </w:rPr>
              <w:t>.</w:t>
            </w:r>
            <w:r w:rsidRPr="00D12EE1">
              <w:rPr>
                <w:lang w:eastAsia="en-US"/>
              </w:rPr>
              <w:t xml:space="preserve"> </w:t>
            </w:r>
          </w:p>
          <w:p w14:paraId="65BF06D6" w14:textId="74E86F2F" w:rsidR="00AC146A" w:rsidRPr="00D12EE1" w:rsidRDefault="00AC146A" w:rsidP="00AC146A">
            <w:pPr>
              <w:pStyle w:val="a6"/>
              <w:numPr>
                <w:ilvl w:val="0"/>
                <w:numId w:val="5"/>
              </w:numPr>
              <w:spacing w:line="256" w:lineRule="auto"/>
              <w:jc w:val="both"/>
              <w:rPr>
                <w:lang w:eastAsia="en-US"/>
              </w:rPr>
            </w:pPr>
            <w:r w:rsidRPr="00D12EE1">
              <w:rPr>
                <w:lang w:eastAsia="en-US"/>
              </w:rPr>
              <w:t>Откорректирована таблица 5,6 ППТ.ТЧ (</w:t>
            </w:r>
            <w:r>
              <w:rPr>
                <w:lang w:eastAsia="en-US"/>
              </w:rPr>
              <w:t>дополнена</w:t>
            </w:r>
            <w:r w:rsidRPr="00D12EE1">
              <w:rPr>
                <w:lang w:eastAsia="en-US"/>
              </w:rPr>
              <w:t xml:space="preserve"> информаци</w:t>
            </w:r>
            <w:r>
              <w:rPr>
                <w:lang w:eastAsia="en-US"/>
              </w:rPr>
              <w:t>ей</w:t>
            </w:r>
            <w:r w:rsidRPr="00D12EE1">
              <w:rPr>
                <w:lang w:eastAsia="en-US"/>
              </w:rPr>
              <w:t xml:space="preserve"> по площади сущ. земельных участков</w:t>
            </w:r>
            <w:r>
              <w:rPr>
                <w:lang w:eastAsia="en-US"/>
              </w:rPr>
              <w:t xml:space="preserve"> и площади по долям). Откорректирована таблица 11 ППТ.ТЧ, добавлена информация по твердым покрытиям.</w:t>
            </w:r>
          </w:p>
          <w:p w14:paraId="7DA53977" w14:textId="309291F4" w:rsidR="00AC146A" w:rsidRPr="007975A8" w:rsidRDefault="00AC146A" w:rsidP="00AC146A">
            <w:pPr>
              <w:pStyle w:val="a6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14:paraId="08EFF47B" w14:textId="0A2EDA3F" w:rsidR="005931B2" w:rsidRDefault="005931B2" w:rsidP="005931B2">
      <w:pPr>
        <w:tabs>
          <w:tab w:val="left" w:pos="851"/>
        </w:tabs>
        <w:jc w:val="both"/>
      </w:pPr>
      <w:r>
        <w:lastRenderedPageBreak/>
        <w:t xml:space="preserve">* </w:t>
      </w:r>
      <w:r w:rsidRPr="00DE756A">
        <w:rPr>
          <w:i/>
        </w:rPr>
        <w:t xml:space="preserve">Текст предложений и замечаний от участников публичных слушаний департаментом градостроительства и земельных отношений администрации города Нефтеюганска </w:t>
      </w:r>
      <w:r>
        <w:rPr>
          <w:i/>
          <w:u w:val="single"/>
        </w:rPr>
        <w:t>не рецензируется и не редактируе</w:t>
      </w:r>
      <w:r w:rsidRPr="00DE756A">
        <w:rPr>
          <w:i/>
          <w:u w:val="single"/>
        </w:rPr>
        <w:t>тся</w:t>
      </w:r>
      <w:r>
        <w:t xml:space="preserve">. </w:t>
      </w:r>
    </w:p>
    <w:p w14:paraId="7882C422" w14:textId="396DB36B" w:rsidR="005931B2" w:rsidRDefault="005931B2" w:rsidP="005931B2">
      <w:pPr>
        <w:tabs>
          <w:tab w:val="left" w:pos="851"/>
        </w:tabs>
        <w:jc w:val="both"/>
      </w:pPr>
    </w:p>
    <w:p w14:paraId="3559C7DF" w14:textId="49FC0036" w:rsidR="00850138" w:rsidRPr="0032483B" w:rsidRDefault="00850138" w:rsidP="00850138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32483B">
        <w:rPr>
          <w:sz w:val="26"/>
          <w:szCs w:val="26"/>
          <w:u w:val="single"/>
        </w:rPr>
        <w:t>Секретарь оргкомитета,</w:t>
      </w:r>
    </w:p>
    <w:p w14:paraId="505580B7" w14:textId="4DEC8A3C" w:rsidR="00850138" w:rsidRPr="0032483B" w:rsidRDefault="008A0B20" w:rsidP="008501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Специалист-эксперт </w:t>
      </w:r>
      <w:r w:rsidR="00850138" w:rsidRPr="0032483B">
        <w:rPr>
          <w:sz w:val="26"/>
          <w:szCs w:val="26"/>
        </w:rPr>
        <w:t xml:space="preserve">отдела градостроительного развития и </w:t>
      </w:r>
    </w:p>
    <w:p w14:paraId="7B37C9FD" w14:textId="0469877F" w:rsidR="00850138" w:rsidRPr="0032483B" w:rsidRDefault="00850138" w:rsidP="00850138">
      <w:pPr>
        <w:autoSpaceDE w:val="0"/>
        <w:autoSpaceDN w:val="0"/>
        <w:adjustRightInd w:val="0"/>
        <w:jc w:val="both"/>
        <w:rPr>
          <w:sz w:val="26"/>
          <w:szCs w:val="26"/>
        </w:rPr>
      </w:pPr>
      <w:bookmarkStart w:id="0" w:name="_GoBack"/>
      <w:bookmarkEnd w:id="0"/>
      <w:r w:rsidRPr="0032483B">
        <w:rPr>
          <w:sz w:val="26"/>
          <w:szCs w:val="26"/>
        </w:rPr>
        <w:t xml:space="preserve">планировки территории департамента </w:t>
      </w:r>
    </w:p>
    <w:p w14:paraId="264CE320" w14:textId="0AC42748" w:rsidR="00850138" w:rsidRPr="0032483B" w:rsidRDefault="00850138" w:rsidP="008501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2483B">
        <w:rPr>
          <w:sz w:val="26"/>
          <w:szCs w:val="26"/>
        </w:rPr>
        <w:t xml:space="preserve">градостроительства и земельных отношений </w:t>
      </w:r>
    </w:p>
    <w:p w14:paraId="6EB211F9" w14:textId="08D94F0F" w:rsidR="00850138" w:rsidRPr="0032483B" w:rsidRDefault="00850138" w:rsidP="008501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2483B">
        <w:rPr>
          <w:sz w:val="26"/>
          <w:szCs w:val="26"/>
        </w:rPr>
        <w:t>администрации города Нефтеюганска</w:t>
      </w:r>
      <w:r w:rsidR="008A0B20">
        <w:rPr>
          <w:sz w:val="26"/>
          <w:szCs w:val="26"/>
        </w:rPr>
        <w:t>_______________________ Н.А.Стадник</w:t>
      </w:r>
    </w:p>
    <w:p w14:paraId="40686502" w14:textId="77777777" w:rsidR="00850138" w:rsidRPr="0032483B" w:rsidRDefault="00850138" w:rsidP="005A70EE">
      <w:pPr>
        <w:tabs>
          <w:tab w:val="left" w:pos="851"/>
        </w:tabs>
        <w:jc w:val="both"/>
        <w:rPr>
          <w:sz w:val="26"/>
          <w:szCs w:val="26"/>
        </w:rPr>
      </w:pPr>
    </w:p>
    <w:p w14:paraId="6243A547" w14:textId="47C2655A" w:rsidR="00850138" w:rsidRPr="0032483B" w:rsidRDefault="0032483B" w:rsidP="008E3D6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850138" w:rsidRPr="0032483B">
        <w:rPr>
          <w:sz w:val="26"/>
          <w:szCs w:val="26"/>
        </w:rPr>
        <w:t>иректор</w:t>
      </w:r>
      <w:r>
        <w:rPr>
          <w:sz w:val="26"/>
          <w:szCs w:val="26"/>
        </w:rPr>
        <w:t xml:space="preserve"> </w:t>
      </w:r>
      <w:r w:rsidR="00850138" w:rsidRPr="0032483B">
        <w:rPr>
          <w:sz w:val="26"/>
          <w:szCs w:val="26"/>
        </w:rPr>
        <w:t>ООО «</w:t>
      </w:r>
      <w:r>
        <w:rPr>
          <w:sz w:val="26"/>
          <w:szCs w:val="26"/>
        </w:rPr>
        <w:t>Архивариус</w:t>
      </w:r>
      <w:r w:rsidR="00626122" w:rsidRPr="0032483B">
        <w:rPr>
          <w:sz w:val="26"/>
          <w:szCs w:val="26"/>
        </w:rPr>
        <w:t>»</w:t>
      </w:r>
      <w:r w:rsidR="00850138" w:rsidRPr="0032483B">
        <w:rPr>
          <w:sz w:val="26"/>
          <w:szCs w:val="26"/>
        </w:rPr>
        <w:t>_</w:t>
      </w:r>
      <w:r w:rsidR="00DD559D" w:rsidRPr="0032483B">
        <w:rPr>
          <w:sz w:val="26"/>
          <w:szCs w:val="26"/>
        </w:rPr>
        <w:t>______________________</w:t>
      </w:r>
      <w:r w:rsidR="00AF7237">
        <w:rPr>
          <w:sz w:val="26"/>
          <w:szCs w:val="26"/>
        </w:rPr>
        <w:t>______</w:t>
      </w:r>
      <w:r w:rsidR="008A0B20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К.Н.Гребенщиков</w:t>
      </w:r>
      <w:proofErr w:type="spellEnd"/>
    </w:p>
    <w:sectPr w:rsidR="00850138" w:rsidRPr="0032483B" w:rsidSect="00B7739B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4D"/>
    <w:multiLevelType w:val="singleLevel"/>
    <w:tmpl w:val="8A961C7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2E040C3F"/>
    <w:multiLevelType w:val="singleLevel"/>
    <w:tmpl w:val="182819D6"/>
    <w:lvl w:ilvl="0">
      <w:start w:val="10"/>
      <w:numFmt w:val="decimal"/>
      <w:lvlText w:val="%1."/>
      <w:legacy w:legacy="1" w:legacySpace="0" w:legacyIndent="302"/>
      <w:lvlJc w:val="left"/>
      <w:rPr>
        <w:rFonts w:ascii="Times New Roman CYR" w:hAnsi="Times New Roman CYR" w:cs="Times New Roman CYR" w:hint="default"/>
      </w:rPr>
    </w:lvl>
  </w:abstractNum>
  <w:abstractNum w:abstractNumId="2">
    <w:nsid w:val="75C30980"/>
    <w:multiLevelType w:val="hybridMultilevel"/>
    <w:tmpl w:val="1548EE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154EA"/>
    <w:multiLevelType w:val="hybridMultilevel"/>
    <w:tmpl w:val="909653DA"/>
    <w:lvl w:ilvl="0" w:tplc="182CCDA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3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982"/>
    <w:rsid w:val="00004C1F"/>
    <w:rsid w:val="00007F74"/>
    <w:rsid w:val="00035DF2"/>
    <w:rsid w:val="000540E0"/>
    <w:rsid w:val="00087225"/>
    <w:rsid w:val="000D578F"/>
    <w:rsid w:val="00102A30"/>
    <w:rsid w:val="00115FA1"/>
    <w:rsid w:val="00131C05"/>
    <w:rsid w:val="0013268F"/>
    <w:rsid w:val="001353FF"/>
    <w:rsid w:val="00194870"/>
    <w:rsid w:val="001B31A9"/>
    <w:rsid w:val="001B582A"/>
    <w:rsid w:val="001D1FD0"/>
    <w:rsid w:val="001E210C"/>
    <w:rsid w:val="002215D2"/>
    <w:rsid w:val="00223D59"/>
    <w:rsid w:val="00233AA5"/>
    <w:rsid w:val="002411C1"/>
    <w:rsid w:val="00246B1E"/>
    <w:rsid w:val="002607B0"/>
    <w:rsid w:val="00264E4D"/>
    <w:rsid w:val="00281490"/>
    <w:rsid w:val="00290A5B"/>
    <w:rsid w:val="002C5BB9"/>
    <w:rsid w:val="002E5043"/>
    <w:rsid w:val="002E5DEE"/>
    <w:rsid w:val="00315288"/>
    <w:rsid w:val="0032483B"/>
    <w:rsid w:val="00326023"/>
    <w:rsid w:val="00337C63"/>
    <w:rsid w:val="00357216"/>
    <w:rsid w:val="00362059"/>
    <w:rsid w:val="0038449E"/>
    <w:rsid w:val="003B7375"/>
    <w:rsid w:val="003F1009"/>
    <w:rsid w:val="00402517"/>
    <w:rsid w:val="00423E46"/>
    <w:rsid w:val="00442544"/>
    <w:rsid w:val="004429AD"/>
    <w:rsid w:val="004430C9"/>
    <w:rsid w:val="004734B3"/>
    <w:rsid w:val="00495CCB"/>
    <w:rsid w:val="004C34F5"/>
    <w:rsid w:val="004C653B"/>
    <w:rsid w:val="004D17BD"/>
    <w:rsid w:val="005164C7"/>
    <w:rsid w:val="005169F5"/>
    <w:rsid w:val="00550EFA"/>
    <w:rsid w:val="005613B3"/>
    <w:rsid w:val="00567853"/>
    <w:rsid w:val="0057333C"/>
    <w:rsid w:val="00585A7F"/>
    <w:rsid w:val="00586300"/>
    <w:rsid w:val="00587DA6"/>
    <w:rsid w:val="005931B2"/>
    <w:rsid w:val="005A70EE"/>
    <w:rsid w:val="00607222"/>
    <w:rsid w:val="00615F71"/>
    <w:rsid w:val="00626122"/>
    <w:rsid w:val="00636017"/>
    <w:rsid w:val="0067360D"/>
    <w:rsid w:val="00696515"/>
    <w:rsid w:val="006B4655"/>
    <w:rsid w:val="007078C4"/>
    <w:rsid w:val="00732820"/>
    <w:rsid w:val="00733E3B"/>
    <w:rsid w:val="00745F83"/>
    <w:rsid w:val="00767D10"/>
    <w:rsid w:val="0078386C"/>
    <w:rsid w:val="007975A8"/>
    <w:rsid w:val="007B311C"/>
    <w:rsid w:val="007C13DF"/>
    <w:rsid w:val="007D3A3A"/>
    <w:rsid w:val="007E6067"/>
    <w:rsid w:val="007F3FFD"/>
    <w:rsid w:val="00830B34"/>
    <w:rsid w:val="00850138"/>
    <w:rsid w:val="008600FA"/>
    <w:rsid w:val="00874223"/>
    <w:rsid w:val="00880982"/>
    <w:rsid w:val="00880E81"/>
    <w:rsid w:val="00896753"/>
    <w:rsid w:val="008A0B20"/>
    <w:rsid w:val="008A4488"/>
    <w:rsid w:val="008C3AD5"/>
    <w:rsid w:val="008D5A2A"/>
    <w:rsid w:val="008E1912"/>
    <w:rsid w:val="008E3D66"/>
    <w:rsid w:val="009028AE"/>
    <w:rsid w:val="00910F62"/>
    <w:rsid w:val="00922805"/>
    <w:rsid w:val="009454B7"/>
    <w:rsid w:val="00963490"/>
    <w:rsid w:val="009A2784"/>
    <w:rsid w:val="009C05CB"/>
    <w:rsid w:val="009C14CF"/>
    <w:rsid w:val="009E7110"/>
    <w:rsid w:val="009F21AA"/>
    <w:rsid w:val="009F66FE"/>
    <w:rsid w:val="00A065DC"/>
    <w:rsid w:val="00A27CC4"/>
    <w:rsid w:val="00A5062C"/>
    <w:rsid w:val="00A546D2"/>
    <w:rsid w:val="00A76ACF"/>
    <w:rsid w:val="00AA0A71"/>
    <w:rsid w:val="00AB0A83"/>
    <w:rsid w:val="00AB21AC"/>
    <w:rsid w:val="00AC146A"/>
    <w:rsid w:val="00AE6F66"/>
    <w:rsid w:val="00AF7237"/>
    <w:rsid w:val="00B7739B"/>
    <w:rsid w:val="00BA035C"/>
    <w:rsid w:val="00BB0846"/>
    <w:rsid w:val="00BC601D"/>
    <w:rsid w:val="00BD7031"/>
    <w:rsid w:val="00C25585"/>
    <w:rsid w:val="00C678D6"/>
    <w:rsid w:val="00CD0EF5"/>
    <w:rsid w:val="00CD15AA"/>
    <w:rsid w:val="00CE5193"/>
    <w:rsid w:val="00D0792F"/>
    <w:rsid w:val="00D12EE1"/>
    <w:rsid w:val="00D5679B"/>
    <w:rsid w:val="00D57F25"/>
    <w:rsid w:val="00DA2BFC"/>
    <w:rsid w:val="00DD371A"/>
    <w:rsid w:val="00DD559D"/>
    <w:rsid w:val="00DD72F0"/>
    <w:rsid w:val="00DE756A"/>
    <w:rsid w:val="00DF6B0A"/>
    <w:rsid w:val="00E12A55"/>
    <w:rsid w:val="00E33421"/>
    <w:rsid w:val="00E42521"/>
    <w:rsid w:val="00E52FE4"/>
    <w:rsid w:val="00EB202B"/>
    <w:rsid w:val="00ED5076"/>
    <w:rsid w:val="00EE4CE2"/>
    <w:rsid w:val="00F02EB3"/>
    <w:rsid w:val="00F22019"/>
    <w:rsid w:val="00F51C31"/>
    <w:rsid w:val="00F61527"/>
    <w:rsid w:val="00F867D8"/>
    <w:rsid w:val="00F9120C"/>
    <w:rsid w:val="00FC4C53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B7C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0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0A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A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E756A"/>
    <w:pPr>
      <w:ind w:left="720"/>
      <w:contextualSpacing/>
    </w:pPr>
  </w:style>
  <w:style w:type="paragraph" w:customStyle="1" w:styleId="ConsPlusNonformat">
    <w:name w:val="ConsPlusNonformat"/>
    <w:uiPriority w:val="99"/>
    <w:rsid w:val="00AB21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0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0A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A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E756A"/>
    <w:pPr>
      <w:ind w:left="720"/>
      <w:contextualSpacing/>
    </w:pPr>
  </w:style>
  <w:style w:type="paragraph" w:customStyle="1" w:styleId="ConsPlusNonformat">
    <w:name w:val="ConsPlusNonformat"/>
    <w:uiPriority w:val="99"/>
    <w:rsid w:val="00AB21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5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Стадник Наталья Анатольевна</cp:lastModifiedBy>
  <cp:revision>17</cp:revision>
  <cp:lastPrinted>2021-04-07T03:48:00Z</cp:lastPrinted>
  <dcterms:created xsi:type="dcterms:W3CDTF">2021-04-06T11:53:00Z</dcterms:created>
  <dcterms:modified xsi:type="dcterms:W3CDTF">2021-04-08T03:42:00Z</dcterms:modified>
</cp:coreProperties>
</file>