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10" w:rsidRPr="000A635E" w:rsidRDefault="009A5464" w:rsidP="00C036E9">
      <w:pPr>
        <w:tabs>
          <w:tab w:val="left" w:pos="1701"/>
        </w:tabs>
        <w:jc w:val="center"/>
        <w:rPr>
          <w:rFonts w:eastAsiaTheme="minorEastAsia"/>
          <w:b/>
          <w:sz w:val="26"/>
          <w:szCs w:val="26"/>
        </w:rPr>
      </w:pPr>
      <w:r w:rsidRPr="000A635E">
        <w:rPr>
          <w:rFonts w:eastAsiaTheme="minorEastAsia"/>
          <w:b/>
          <w:bCs/>
          <w:sz w:val="26"/>
          <w:szCs w:val="26"/>
        </w:rPr>
        <w:t>Глава 1.2.1</w:t>
      </w:r>
      <w:r w:rsidR="00BE1110" w:rsidRPr="000A635E">
        <w:rPr>
          <w:rFonts w:eastAsiaTheme="minorEastAsia"/>
          <w:b/>
          <w:sz w:val="26"/>
          <w:szCs w:val="26"/>
        </w:rPr>
        <w:t xml:space="preserve">. Анализ состояния </w:t>
      </w:r>
      <w:r w:rsidRPr="000A635E">
        <w:rPr>
          <w:rFonts w:eastAsiaTheme="minorEastAsia"/>
          <w:b/>
          <w:sz w:val="26"/>
          <w:szCs w:val="26"/>
        </w:rPr>
        <w:t>заболеваемости массовыми</w:t>
      </w:r>
      <w:r w:rsidR="00BE1110" w:rsidRPr="000A635E">
        <w:rPr>
          <w:rFonts w:eastAsiaTheme="minorEastAsia"/>
          <w:b/>
          <w:sz w:val="26"/>
          <w:szCs w:val="26"/>
        </w:rPr>
        <w:t xml:space="preserve"> неинфекционными заболеваниями (отравлениями) и приоритетными заболеваниями в связи с вредным воздействием факторов среды обитания населения</w:t>
      </w:r>
      <w:r>
        <w:rPr>
          <w:rFonts w:eastAsiaTheme="minorEastAsia"/>
          <w:b/>
          <w:sz w:val="26"/>
          <w:szCs w:val="26"/>
        </w:rPr>
        <w:t xml:space="preserve"> </w:t>
      </w:r>
      <w:r w:rsidR="00BE1110" w:rsidRPr="000A635E">
        <w:rPr>
          <w:rFonts w:eastAsiaTheme="minorEastAsia"/>
          <w:b/>
          <w:sz w:val="26"/>
          <w:szCs w:val="26"/>
        </w:rPr>
        <w:t>г. Нефтеюганска</w:t>
      </w:r>
    </w:p>
    <w:p w:rsidR="00BE1110" w:rsidRPr="000A635E" w:rsidRDefault="00BE1110" w:rsidP="00C036E9">
      <w:pPr>
        <w:tabs>
          <w:tab w:val="left" w:pos="1701"/>
        </w:tabs>
        <w:jc w:val="center"/>
        <w:rPr>
          <w:rFonts w:eastAsiaTheme="minorEastAsia"/>
          <w:b/>
          <w:sz w:val="24"/>
          <w:szCs w:val="24"/>
        </w:rPr>
      </w:pPr>
    </w:p>
    <w:p w:rsidR="00BE1110" w:rsidRPr="000A635E" w:rsidRDefault="00BE1110" w:rsidP="00C036E9">
      <w:pPr>
        <w:spacing w:after="200"/>
        <w:jc w:val="center"/>
        <w:rPr>
          <w:rFonts w:eastAsiaTheme="minorEastAsia"/>
          <w:b/>
          <w:sz w:val="24"/>
          <w:szCs w:val="24"/>
        </w:rPr>
      </w:pPr>
      <w:r w:rsidRPr="000A635E">
        <w:rPr>
          <w:rFonts w:eastAsiaTheme="minorEastAsia"/>
          <w:b/>
          <w:bCs/>
          <w:sz w:val="24"/>
          <w:szCs w:val="24"/>
        </w:rPr>
        <w:t>Структура общей заболеваемости и ранговое место отдельных классов болезней</w:t>
      </w:r>
    </w:p>
    <w:p w:rsidR="00BE1110" w:rsidRPr="00F54D3C" w:rsidRDefault="00F54D3C" w:rsidP="00C036E9">
      <w:p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 w:rsidR="00BE1110" w:rsidRPr="00F54D3C">
        <w:rPr>
          <w:rFonts w:eastAsiaTheme="minorEastAsia"/>
          <w:sz w:val="24"/>
          <w:szCs w:val="24"/>
        </w:rPr>
        <w:t xml:space="preserve">В г. Нефтеюганске в структуре общей заболеваемости в </w:t>
      </w:r>
      <w:r w:rsidR="00B02924" w:rsidRPr="00F54D3C">
        <w:rPr>
          <w:rFonts w:eastAsiaTheme="minorEastAsia"/>
          <w:sz w:val="24"/>
          <w:szCs w:val="24"/>
        </w:rPr>
        <w:t>20</w:t>
      </w:r>
      <w:r w:rsidR="00941AC3" w:rsidRPr="00F54D3C">
        <w:rPr>
          <w:rFonts w:eastAsiaTheme="minorEastAsia"/>
          <w:sz w:val="24"/>
          <w:szCs w:val="24"/>
        </w:rPr>
        <w:t>20</w:t>
      </w:r>
      <w:r w:rsidR="00BE1110" w:rsidRPr="00F54D3C">
        <w:rPr>
          <w:rFonts w:eastAsiaTheme="minorEastAsia"/>
          <w:sz w:val="24"/>
          <w:szCs w:val="24"/>
        </w:rPr>
        <w:t xml:space="preserve"> году ведущее место занимаю</w:t>
      </w:r>
      <w:r w:rsidR="00754DDD" w:rsidRPr="00F54D3C">
        <w:rPr>
          <w:rFonts w:eastAsiaTheme="minorEastAsia"/>
          <w:sz w:val="24"/>
          <w:szCs w:val="24"/>
        </w:rPr>
        <w:t xml:space="preserve">т болезни органов дыхания – </w:t>
      </w:r>
      <w:r w:rsidRPr="00F54D3C">
        <w:rPr>
          <w:rFonts w:eastAsiaTheme="minorEastAsia"/>
          <w:sz w:val="24"/>
          <w:szCs w:val="24"/>
        </w:rPr>
        <w:t>38,5</w:t>
      </w:r>
      <w:r w:rsidR="00BE1110" w:rsidRPr="00F54D3C">
        <w:rPr>
          <w:rFonts w:eastAsiaTheme="minorEastAsia"/>
          <w:sz w:val="24"/>
          <w:szCs w:val="24"/>
        </w:rPr>
        <w:t xml:space="preserve">% (в прошлом году </w:t>
      </w:r>
      <w:r w:rsidRPr="00F54D3C">
        <w:rPr>
          <w:rFonts w:eastAsiaTheme="minorEastAsia"/>
          <w:sz w:val="24"/>
          <w:szCs w:val="24"/>
        </w:rPr>
        <w:t>31,1</w:t>
      </w:r>
      <w:r w:rsidR="00BE1110" w:rsidRPr="00F54D3C">
        <w:rPr>
          <w:rFonts w:eastAsiaTheme="minorEastAsia"/>
          <w:sz w:val="24"/>
          <w:szCs w:val="24"/>
        </w:rPr>
        <w:t>%), болезни костно-мышечной сис</w:t>
      </w:r>
      <w:r w:rsidR="00754DDD" w:rsidRPr="00F54D3C">
        <w:rPr>
          <w:rFonts w:eastAsiaTheme="minorEastAsia"/>
          <w:sz w:val="24"/>
          <w:szCs w:val="24"/>
        </w:rPr>
        <w:t xml:space="preserve">темы </w:t>
      </w:r>
      <w:r w:rsidRPr="00F54D3C">
        <w:rPr>
          <w:rFonts w:eastAsiaTheme="minorEastAsia"/>
          <w:sz w:val="24"/>
          <w:szCs w:val="24"/>
        </w:rPr>
        <w:t>10,6</w:t>
      </w:r>
      <w:r w:rsidR="00754DDD" w:rsidRPr="00F54D3C">
        <w:rPr>
          <w:rFonts w:eastAsiaTheme="minorEastAsia"/>
          <w:sz w:val="24"/>
          <w:szCs w:val="24"/>
        </w:rPr>
        <w:t xml:space="preserve">% (в прошлом году </w:t>
      </w:r>
      <w:r w:rsidRPr="00F54D3C">
        <w:rPr>
          <w:rFonts w:eastAsiaTheme="minorEastAsia"/>
          <w:sz w:val="24"/>
          <w:szCs w:val="24"/>
        </w:rPr>
        <w:t>11,5</w:t>
      </w:r>
      <w:r w:rsidR="00BE1110" w:rsidRPr="00F54D3C">
        <w:rPr>
          <w:rFonts w:eastAsiaTheme="minorEastAsia"/>
          <w:sz w:val="24"/>
          <w:szCs w:val="24"/>
        </w:rPr>
        <w:t xml:space="preserve">%), болезни </w:t>
      </w:r>
      <w:r w:rsidR="00754DDD" w:rsidRPr="00F54D3C">
        <w:rPr>
          <w:rFonts w:eastAsiaTheme="minorEastAsia"/>
          <w:sz w:val="24"/>
          <w:szCs w:val="24"/>
        </w:rPr>
        <w:t xml:space="preserve">системы кровообращения – </w:t>
      </w:r>
      <w:r w:rsidRPr="00F54D3C">
        <w:rPr>
          <w:rFonts w:eastAsiaTheme="minorEastAsia"/>
          <w:sz w:val="24"/>
          <w:szCs w:val="24"/>
        </w:rPr>
        <w:t>8,2</w:t>
      </w:r>
      <w:r w:rsidR="00754DDD" w:rsidRPr="00F54D3C">
        <w:rPr>
          <w:rFonts w:eastAsiaTheme="minorEastAsia"/>
          <w:sz w:val="24"/>
          <w:szCs w:val="24"/>
        </w:rPr>
        <w:t xml:space="preserve">% (в прошлом году </w:t>
      </w:r>
      <w:r w:rsidRPr="00F54D3C">
        <w:rPr>
          <w:rFonts w:eastAsiaTheme="minorEastAsia"/>
          <w:sz w:val="24"/>
          <w:szCs w:val="24"/>
        </w:rPr>
        <w:t>8,8</w:t>
      </w:r>
      <w:r w:rsidR="00BE1110" w:rsidRPr="00F54D3C">
        <w:rPr>
          <w:rFonts w:eastAsiaTheme="minorEastAsia"/>
          <w:sz w:val="24"/>
          <w:szCs w:val="24"/>
        </w:rPr>
        <w:t>%)</w:t>
      </w:r>
    </w:p>
    <w:p w:rsidR="009A5464" w:rsidRPr="000A635E" w:rsidRDefault="009A5464" w:rsidP="00C036E9">
      <w:pPr>
        <w:jc w:val="both"/>
        <w:rPr>
          <w:rFonts w:eastAsiaTheme="minorEastAsia"/>
          <w:sz w:val="24"/>
          <w:szCs w:val="24"/>
        </w:rPr>
      </w:pPr>
    </w:p>
    <w:p w:rsidR="00BE1110" w:rsidRPr="000A635E" w:rsidRDefault="00533FEC" w:rsidP="009A5464">
      <w:pPr>
        <w:spacing w:after="200"/>
        <w:outlineLvl w:val="0"/>
        <w:rPr>
          <w:rFonts w:eastAsiaTheme="minorEastAsia"/>
          <w:sz w:val="21"/>
          <w:szCs w:val="21"/>
        </w:rPr>
      </w:pPr>
      <w:r w:rsidRPr="000A635E">
        <w:rPr>
          <w:rFonts w:eastAsiaTheme="minorEastAsia"/>
          <w:sz w:val="21"/>
          <w:szCs w:val="21"/>
        </w:rPr>
        <w:t xml:space="preserve">Таблица № </w:t>
      </w:r>
      <w:r w:rsidR="00792D79">
        <w:rPr>
          <w:rFonts w:eastAsiaTheme="minorEastAsia"/>
          <w:sz w:val="21"/>
          <w:szCs w:val="21"/>
        </w:rPr>
        <w:t>1</w:t>
      </w:r>
    </w:p>
    <w:p w:rsidR="00BE1110" w:rsidRPr="000A635E" w:rsidRDefault="00BE1110" w:rsidP="00C036E9">
      <w:pPr>
        <w:jc w:val="center"/>
        <w:rPr>
          <w:rFonts w:eastAsiaTheme="minorEastAsia"/>
          <w:b/>
          <w:bCs/>
          <w:iCs/>
          <w:sz w:val="24"/>
          <w:szCs w:val="22"/>
        </w:rPr>
      </w:pPr>
      <w:r w:rsidRPr="000A635E">
        <w:rPr>
          <w:rFonts w:eastAsiaTheme="minorEastAsia"/>
          <w:b/>
          <w:sz w:val="24"/>
          <w:szCs w:val="22"/>
        </w:rPr>
        <w:t xml:space="preserve">Общая заболеваемость населения в г. Нефтеюганске </w:t>
      </w:r>
      <w:r w:rsidRPr="000A635E">
        <w:rPr>
          <w:rFonts w:eastAsiaTheme="minorEastAsia"/>
          <w:b/>
          <w:bCs/>
          <w:iCs/>
          <w:sz w:val="24"/>
          <w:szCs w:val="22"/>
        </w:rPr>
        <w:t xml:space="preserve">(на 1000 населения) </w:t>
      </w:r>
    </w:p>
    <w:p w:rsidR="00BE1110" w:rsidRPr="000A635E" w:rsidRDefault="00BE1110" w:rsidP="00C036E9">
      <w:pPr>
        <w:jc w:val="center"/>
        <w:rPr>
          <w:rFonts w:eastAsiaTheme="minorEastAsia"/>
          <w:b/>
          <w:sz w:val="24"/>
          <w:szCs w:val="22"/>
        </w:rPr>
      </w:pPr>
      <w:r w:rsidRPr="000A635E">
        <w:rPr>
          <w:rFonts w:eastAsiaTheme="minorEastAsia"/>
          <w:b/>
          <w:sz w:val="24"/>
          <w:szCs w:val="22"/>
        </w:rPr>
        <w:t>за 20</w:t>
      </w:r>
      <w:r w:rsidR="002477E1">
        <w:rPr>
          <w:rFonts w:eastAsiaTheme="minorEastAsia"/>
          <w:b/>
          <w:sz w:val="24"/>
          <w:szCs w:val="22"/>
        </w:rPr>
        <w:t>20</w:t>
      </w:r>
      <w:r w:rsidR="000A635E">
        <w:rPr>
          <w:rFonts w:eastAsiaTheme="minorEastAsia"/>
          <w:b/>
          <w:sz w:val="24"/>
          <w:szCs w:val="22"/>
        </w:rPr>
        <w:t xml:space="preserve"> </w:t>
      </w:r>
      <w:r w:rsidRPr="000A635E">
        <w:rPr>
          <w:rFonts w:eastAsiaTheme="minorEastAsia"/>
          <w:b/>
          <w:sz w:val="24"/>
          <w:szCs w:val="22"/>
        </w:rPr>
        <w:t>год</w:t>
      </w:r>
    </w:p>
    <w:p w:rsidR="00BE1110" w:rsidRPr="000A635E" w:rsidRDefault="00BE1110" w:rsidP="00C036E9">
      <w:pPr>
        <w:jc w:val="center"/>
        <w:rPr>
          <w:rFonts w:eastAsiaTheme="minorEastAsia"/>
          <w:b/>
          <w:sz w:val="22"/>
          <w:szCs w:val="22"/>
        </w:rPr>
      </w:pPr>
    </w:p>
    <w:tbl>
      <w:tblPr>
        <w:tblW w:w="9141" w:type="dxa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231"/>
        <w:gridCol w:w="1109"/>
        <w:gridCol w:w="1422"/>
        <w:gridCol w:w="1239"/>
      </w:tblGrid>
      <w:tr w:rsidR="00BE1110" w:rsidRPr="000A635E" w:rsidTr="009A5464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1110" w:rsidRPr="00754DDD" w:rsidRDefault="00BE1110" w:rsidP="00C036E9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Классы болезней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754DDD" w:rsidRDefault="00BE1110" w:rsidP="00C036E9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754DDD" w:rsidRDefault="00BE1110" w:rsidP="00C036E9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Дети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754DDD" w:rsidRDefault="00BE1110" w:rsidP="00C036E9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 xml:space="preserve">    Подростки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754DDD" w:rsidRDefault="00BE1110" w:rsidP="00C036E9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 xml:space="preserve">   Взрослые</w:t>
            </w:r>
          </w:p>
        </w:tc>
      </w:tr>
      <w:tr w:rsidR="008F223B" w:rsidRPr="00CF4914" w:rsidTr="00A654E6">
        <w:trPr>
          <w:trHeight w:val="493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1482,1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2774,6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2358,4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1139,1</w:t>
            </w:r>
          </w:p>
        </w:tc>
      </w:tr>
      <w:tr w:rsidR="008F223B" w:rsidRPr="00CF4914" w:rsidTr="00A654E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Инфекционные болезни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65,2</w:t>
            </w:r>
          </w:p>
        </w:tc>
      </w:tr>
      <w:tr w:rsidR="008F223B" w:rsidRPr="00CF4914" w:rsidTr="00A654E6">
        <w:trPr>
          <w:trHeight w:val="45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Новообразования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42,5</w:t>
            </w:r>
          </w:p>
        </w:tc>
      </w:tr>
      <w:tr w:rsidR="008F223B" w:rsidRPr="00CF4914" w:rsidTr="00A654E6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крови и кроветворных органов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</w:t>
            </w:r>
          </w:p>
        </w:tc>
      </w:tr>
      <w:tr w:rsidR="008F223B" w:rsidRPr="00CF4914" w:rsidTr="00A654E6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эндокринной системы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93,3</w:t>
            </w:r>
          </w:p>
        </w:tc>
      </w:tr>
      <w:tr w:rsidR="008F223B" w:rsidRPr="00CF4914" w:rsidTr="00A654E6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Психические расстройства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16,9</w:t>
            </w:r>
          </w:p>
        </w:tc>
      </w:tr>
      <w:tr w:rsidR="008F223B" w:rsidRPr="00CF4914" w:rsidTr="00A654E6">
        <w:trPr>
          <w:trHeight w:val="43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32,3</w:t>
            </w:r>
          </w:p>
        </w:tc>
      </w:tr>
      <w:tr w:rsidR="008F223B" w:rsidRPr="00CF4914" w:rsidTr="00A654E6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глаза и его придаточного аппарата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50,8</w:t>
            </w:r>
          </w:p>
        </w:tc>
      </w:tr>
      <w:tr w:rsidR="008F223B" w:rsidRPr="00CF4914" w:rsidTr="00A654E6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17,8</w:t>
            </w:r>
          </w:p>
        </w:tc>
      </w:tr>
      <w:tr w:rsidR="008F223B" w:rsidRPr="00CF4914" w:rsidTr="00A654E6">
        <w:trPr>
          <w:trHeight w:val="33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154,2</w:t>
            </w:r>
          </w:p>
        </w:tc>
      </w:tr>
      <w:tr w:rsidR="008F223B" w:rsidRPr="00CF4914" w:rsidTr="00A654E6">
        <w:trPr>
          <w:trHeight w:val="33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571,2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1921,1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1345,3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218,4</w:t>
            </w:r>
          </w:p>
        </w:tc>
      </w:tr>
      <w:tr w:rsidR="008F223B" w:rsidRPr="00CF4914" w:rsidTr="00A654E6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74,5</w:t>
            </w:r>
          </w:p>
        </w:tc>
      </w:tr>
      <w:tr w:rsidR="008F223B" w:rsidRPr="00CF4914" w:rsidTr="00A654E6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кожи и подкожной клетчатки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38,6</w:t>
            </w:r>
          </w:p>
        </w:tc>
      </w:tr>
      <w:tr w:rsidR="008F223B" w:rsidRPr="00CF4914" w:rsidTr="00A654E6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костно-мышечной системы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181,2</w:t>
            </w:r>
          </w:p>
        </w:tc>
      </w:tr>
      <w:tr w:rsidR="008F223B" w:rsidRPr="00CF4914" w:rsidTr="00A654E6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91,8</w:t>
            </w:r>
          </w:p>
        </w:tc>
      </w:tr>
      <w:tr w:rsidR="008F223B" w:rsidRPr="00CF4914" w:rsidTr="00A654E6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Беременность, роды и послеродовый период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8,1</w:t>
            </w:r>
          </w:p>
        </w:tc>
      </w:tr>
      <w:tr w:rsidR="008F223B" w:rsidRPr="00CF4914" w:rsidTr="00A654E6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Отдельные состояния, возникающие в перинатальном периоде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8F223B" w:rsidRPr="00CF4914" w:rsidTr="00A654E6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Врожденные аномалии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8F223B" w:rsidRPr="00CF4914" w:rsidTr="00A654E6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Симптомы, признаки и отклонения от нормы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8F223B" w:rsidRPr="00CF4914" w:rsidTr="00A654E6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3B" w:rsidRPr="00754DDD" w:rsidRDefault="008F223B" w:rsidP="008F223B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Травмы и отравления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23B" w:rsidRDefault="008F223B" w:rsidP="008F22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45,1</w:t>
            </w:r>
          </w:p>
        </w:tc>
      </w:tr>
    </w:tbl>
    <w:p w:rsidR="00BE1110" w:rsidRPr="000A635E" w:rsidRDefault="00BE1110" w:rsidP="00C036E9">
      <w:pPr>
        <w:pStyle w:val="26"/>
        <w:shd w:val="clear" w:color="auto" w:fill="auto"/>
        <w:spacing w:before="0" w:after="111" w:line="240" w:lineRule="auto"/>
        <w:ind w:right="780"/>
        <w:jc w:val="both"/>
        <w:rPr>
          <w:color w:val="000000" w:themeColor="text1"/>
          <w:sz w:val="24"/>
          <w:szCs w:val="24"/>
        </w:rPr>
      </w:pPr>
    </w:p>
    <w:p w:rsidR="009A5464" w:rsidRDefault="009A5464" w:rsidP="00C036E9">
      <w:pPr>
        <w:pStyle w:val="26"/>
        <w:shd w:val="clear" w:color="auto" w:fill="auto"/>
        <w:spacing w:before="0" w:after="111" w:line="240" w:lineRule="auto"/>
        <w:ind w:right="780"/>
        <w:jc w:val="both"/>
        <w:rPr>
          <w:color w:val="000000" w:themeColor="text1"/>
          <w:sz w:val="24"/>
          <w:szCs w:val="24"/>
        </w:rPr>
      </w:pPr>
    </w:p>
    <w:p w:rsidR="00BE1110" w:rsidRPr="000A635E" w:rsidRDefault="009A5464" w:rsidP="00ED7164">
      <w:pPr>
        <w:pStyle w:val="26"/>
        <w:shd w:val="clear" w:color="auto" w:fill="auto"/>
        <w:spacing w:before="0" w:after="111" w:line="240" w:lineRule="auto"/>
        <w:jc w:val="both"/>
        <w:rPr>
          <w:rFonts w:eastAsiaTheme="minorEastAsia"/>
          <w:color w:val="FF0000"/>
        </w:rPr>
      </w:pPr>
      <w:r>
        <w:rPr>
          <w:color w:val="000000" w:themeColor="text1"/>
          <w:sz w:val="24"/>
          <w:szCs w:val="24"/>
        </w:rPr>
        <w:tab/>
      </w:r>
      <w:r w:rsidR="00BE1110" w:rsidRPr="00ED7164">
        <w:rPr>
          <w:color w:val="000000" w:themeColor="text1"/>
          <w:sz w:val="24"/>
          <w:szCs w:val="24"/>
        </w:rPr>
        <w:t xml:space="preserve">В </w:t>
      </w:r>
      <w:r w:rsidR="00754DDD" w:rsidRPr="00ED7164">
        <w:rPr>
          <w:color w:val="000000" w:themeColor="text1"/>
          <w:sz w:val="24"/>
          <w:szCs w:val="24"/>
        </w:rPr>
        <w:t>20</w:t>
      </w:r>
      <w:r w:rsidR="00AF5AA9" w:rsidRPr="00ED7164">
        <w:rPr>
          <w:color w:val="000000" w:themeColor="text1"/>
          <w:sz w:val="24"/>
          <w:szCs w:val="24"/>
        </w:rPr>
        <w:t>20</w:t>
      </w:r>
      <w:r w:rsidR="00BE1110" w:rsidRPr="00ED7164">
        <w:rPr>
          <w:color w:val="000000" w:themeColor="text1"/>
          <w:sz w:val="24"/>
          <w:szCs w:val="24"/>
        </w:rPr>
        <w:t xml:space="preserve"> году отмечается </w:t>
      </w:r>
      <w:r w:rsidR="008F223B" w:rsidRPr="00ED7164">
        <w:rPr>
          <w:color w:val="000000" w:themeColor="text1"/>
          <w:sz w:val="24"/>
          <w:szCs w:val="24"/>
        </w:rPr>
        <w:t>снижение</w:t>
      </w:r>
      <w:r w:rsidR="00BE1110" w:rsidRPr="00ED7164">
        <w:rPr>
          <w:color w:val="000000" w:themeColor="text1"/>
          <w:sz w:val="24"/>
          <w:szCs w:val="24"/>
        </w:rPr>
        <w:t xml:space="preserve"> общей заболеваемости населения г.Нефтеюганска</w:t>
      </w:r>
      <w:r w:rsidRPr="00ED7164">
        <w:rPr>
          <w:color w:val="000000" w:themeColor="text1"/>
          <w:sz w:val="24"/>
          <w:szCs w:val="24"/>
        </w:rPr>
        <w:t>, по</w:t>
      </w:r>
      <w:r w:rsidR="00BE1110" w:rsidRPr="00ED7164">
        <w:rPr>
          <w:color w:val="000000" w:themeColor="text1"/>
          <w:sz w:val="24"/>
          <w:szCs w:val="24"/>
        </w:rPr>
        <w:t xml:space="preserve"> сравнению с прошлым годом, на </w:t>
      </w:r>
      <w:r w:rsidR="008F223B" w:rsidRPr="00ED7164">
        <w:rPr>
          <w:color w:val="000000" w:themeColor="text1"/>
          <w:sz w:val="24"/>
          <w:szCs w:val="24"/>
        </w:rPr>
        <w:t>4,7</w:t>
      </w:r>
      <w:r w:rsidR="00BE1110" w:rsidRPr="00ED7164">
        <w:rPr>
          <w:color w:val="000000" w:themeColor="text1"/>
          <w:sz w:val="24"/>
          <w:szCs w:val="24"/>
        </w:rPr>
        <w:t xml:space="preserve">%. </w:t>
      </w:r>
    </w:p>
    <w:p w:rsidR="00BE1110" w:rsidRPr="000A635E" w:rsidRDefault="009A5464" w:rsidP="00C036E9">
      <w:pPr>
        <w:spacing w:after="200"/>
        <w:jc w:val="center"/>
        <w:rPr>
          <w:rFonts w:eastAsiaTheme="minorEastAsia"/>
          <w:sz w:val="28"/>
          <w:szCs w:val="22"/>
        </w:rPr>
      </w:pPr>
      <w:r>
        <w:rPr>
          <w:noProof/>
        </w:rPr>
        <w:drawing>
          <wp:inline distT="0" distB="0" distL="0" distR="0" wp14:anchorId="5B905025" wp14:editId="5F548EF7">
            <wp:extent cx="5765075" cy="294894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E1110" w:rsidRPr="00C4391C" w:rsidRDefault="00792D79" w:rsidP="00C036E9">
      <w:pPr>
        <w:ind w:right="679"/>
        <w:jc w:val="center"/>
        <w:rPr>
          <w:rFonts w:eastAsiaTheme="minorEastAsia"/>
          <w:b/>
          <w:sz w:val="21"/>
          <w:szCs w:val="21"/>
        </w:rPr>
      </w:pPr>
      <w:r w:rsidRPr="00C4391C">
        <w:rPr>
          <w:rFonts w:eastAsiaTheme="minorEastAsia"/>
          <w:b/>
          <w:sz w:val="21"/>
          <w:szCs w:val="21"/>
        </w:rPr>
        <w:t xml:space="preserve">Гистограмма № 5 </w:t>
      </w:r>
      <w:r w:rsidR="00BE1110" w:rsidRPr="00C4391C">
        <w:rPr>
          <w:rFonts w:eastAsiaTheme="minorEastAsia"/>
          <w:b/>
          <w:sz w:val="21"/>
          <w:szCs w:val="21"/>
        </w:rPr>
        <w:t>«Динамика общей заболеваемости по приоритетным классам болезней в г. Нефтеюганске за 201</w:t>
      </w:r>
      <w:r w:rsidR="009A5464">
        <w:rPr>
          <w:rFonts w:eastAsiaTheme="minorEastAsia"/>
          <w:b/>
          <w:sz w:val="21"/>
          <w:szCs w:val="21"/>
        </w:rPr>
        <w:t>8 – 2020</w:t>
      </w:r>
      <w:r w:rsidR="00BE1110" w:rsidRPr="00C4391C">
        <w:rPr>
          <w:rFonts w:eastAsiaTheme="minorEastAsia"/>
          <w:b/>
          <w:sz w:val="21"/>
          <w:szCs w:val="21"/>
        </w:rPr>
        <w:t xml:space="preserve"> гг.»</w:t>
      </w:r>
    </w:p>
    <w:p w:rsidR="00BE1110" w:rsidRPr="00C4391C" w:rsidRDefault="00BE1110" w:rsidP="00C036E9">
      <w:pPr>
        <w:jc w:val="center"/>
        <w:rPr>
          <w:rFonts w:eastAsiaTheme="minorEastAsia"/>
          <w:b/>
          <w:sz w:val="22"/>
          <w:szCs w:val="22"/>
        </w:rPr>
      </w:pPr>
    </w:p>
    <w:p w:rsidR="00BE1110" w:rsidRPr="000A635E" w:rsidRDefault="00ED7164" w:rsidP="00C036E9">
      <w:pPr>
        <w:jc w:val="both"/>
        <w:rPr>
          <w:rFonts w:eastAsiaTheme="minorEastAsia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 w:rsidRPr="00ED7164">
        <w:rPr>
          <w:color w:val="000000" w:themeColor="text1"/>
          <w:sz w:val="24"/>
          <w:szCs w:val="24"/>
        </w:rPr>
        <w:t>В структуре возрастных групп, самый высокий уровень общей заболеваемости в г. Нефтеюганске регистрируется, по-прежнему, у детей от 0 до 14 лет. По сравнению с прошлым годом, в этой возрастной группе отмечается повышение заболеваемости на 8%. Среди подростков 15-17 лет заболеваемость увеличилась, относительно 2019 года, на 65,8%. У взрослых от 18 лет и старше отмечается снижение заболеваемости на 11,4 %.</w:t>
      </w:r>
    </w:p>
    <w:p w:rsidR="00BE1110" w:rsidRPr="000A635E" w:rsidRDefault="00C036E9" w:rsidP="00C036E9">
      <w:pPr>
        <w:spacing w:line="276" w:lineRule="auto"/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Таблица № 2</w:t>
      </w:r>
    </w:p>
    <w:p w:rsidR="00BE1110" w:rsidRPr="000A635E" w:rsidRDefault="00BE1110" w:rsidP="00C036E9">
      <w:pPr>
        <w:jc w:val="center"/>
        <w:rPr>
          <w:rFonts w:eastAsiaTheme="minorEastAsia"/>
          <w:b/>
          <w:sz w:val="22"/>
          <w:szCs w:val="22"/>
        </w:rPr>
      </w:pPr>
      <w:r w:rsidRPr="000A635E">
        <w:rPr>
          <w:rFonts w:eastAsiaTheme="minorEastAsia"/>
          <w:b/>
          <w:sz w:val="22"/>
          <w:szCs w:val="22"/>
        </w:rPr>
        <w:t xml:space="preserve">Показатели общей заболеваемости по возрастным группам  </w:t>
      </w:r>
    </w:p>
    <w:p w:rsidR="00BE1110" w:rsidRDefault="00BE1110" w:rsidP="00C036E9">
      <w:pPr>
        <w:jc w:val="center"/>
        <w:rPr>
          <w:rFonts w:eastAsiaTheme="minorEastAsia"/>
          <w:b/>
          <w:sz w:val="22"/>
          <w:szCs w:val="22"/>
        </w:rPr>
      </w:pPr>
      <w:r w:rsidRPr="000A635E">
        <w:rPr>
          <w:rFonts w:eastAsiaTheme="minorEastAsia"/>
          <w:b/>
          <w:sz w:val="22"/>
          <w:szCs w:val="22"/>
        </w:rPr>
        <w:t>в г. Нефтеюганске за 201</w:t>
      </w:r>
      <w:r w:rsidR="009A5464">
        <w:rPr>
          <w:rFonts w:eastAsiaTheme="minorEastAsia"/>
          <w:b/>
          <w:sz w:val="22"/>
          <w:szCs w:val="22"/>
        </w:rPr>
        <w:t>8 – 2020</w:t>
      </w:r>
      <w:r w:rsidRPr="000A635E">
        <w:rPr>
          <w:rFonts w:eastAsiaTheme="minorEastAsia"/>
          <w:b/>
          <w:sz w:val="22"/>
          <w:szCs w:val="22"/>
        </w:rPr>
        <w:t xml:space="preserve"> гг.</w:t>
      </w:r>
    </w:p>
    <w:p w:rsidR="000A635E" w:rsidRPr="000A635E" w:rsidRDefault="000A635E" w:rsidP="00C036E9">
      <w:pPr>
        <w:jc w:val="center"/>
        <w:rPr>
          <w:rFonts w:eastAsiaTheme="minorEastAsia"/>
          <w:b/>
          <w:sz w:val="22"/>
          <w:szCs w:val="22"/>
        </w:rPr>
      </w:pPr>
    </w:p>
    <w:tbl>
      <w:tblPr>
        <w:tblW w:w="7797" w:type="dxa"/>
        <w:jc w:val="center"/>
        <w:tblLayout w:type="fixed"/>
        <w:tblLook w:val="0000" w:firstRow="0" w:lastRow="0" w:firstColumn="0" w:lastColumn="0" w:noHBand="0" w:noVBand="0"/>
      </w:tblPr>
      <w:tblGrid>
        <w:gridCol w:w="2552"/>
        <w:gridCol w:w="1843"/>
        <w:gridCol w:w="1701"/>
        <w:gridCol w:w="1701"/>
      </w:tblGrid>
      <w:tr w:rsidR="00ED7164" w:rsidRPr="000A635E" w:rsidTr="00C70CA2">
        <w:trPr>
          <w:trHeight w:val="48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Возрастная группа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2018г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2019г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2020г</w:t>
            </w:r>
          </w:p>
        </w:tc>
      </w:tr>
      <w:tr w:rsidR="00ED7164" w:rsidRPr="000A635E" w:rsidTr="00C70CA2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Дети 0-14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3850,2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2568,5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2774,6</w:t>
            </w:r>
          </w:p>
        </w:tc>
      </w:tr>
      <w:tr w:rsidR="00ED7164" w:rsidRPr="000A635E" w:rsidTr="00C70CA2">
        <w:trPr>
          <w:trHeight w:val="27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Подростки 15-17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2229,5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1422,6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2358,4</w:t>
            </w:r>
          </w:p>
        </w:tc>
      </w:tr>
      <w:tr w:rsidR="00ED7164" w:rsidRPr="000A635E" w:rsidTr="00C70CA2">
        <w:trPr>
          <w:trHeight w:val="27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Взрослые 18 лет и старше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1217,4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1286,5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164" w:rsidRDefault="00ED7164" w:rsidP="00ED716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1139,1</w:t>
            </w:r>
          </w:p>
        </w:tc>
      </w:tr>
    </w:tbl>
    <w:p w:rsidR="00BE1110" w:rsidRDefault="00BE1110" w:rsidP="00C036E9">
      <w:pPr>
        <w:tabs>
          <w:tab w:val="left" w:pos="4111"/>
        </w:tabs>
        <w:spacing w:after="200"/>
        <w:jc w:val="center"/>
        <w:rPr>
          <w:rFonts w:eastAsiaTheme="minorEastAsia"/>
          <w:sz w:val="22"/>
          <w:szCs w:val="22"/>
        </w:rPr>
      </w:pPr>
    </w:p>
    <w:p w:rsidR="00ED7164" w:rsidRPr="000A635E" w:rsidRDefault="00ED7164" w:rsidP="00C036E9">
      <w:pPr>
        <w:tabs>
          <w:tab w:val="left" w:pos="4111"/>
        </w:tabs>
        <w:spacing w:after="200"/>
        <w:jc w:val="center"/>
        <w:rPr>
          <w:rFonts w:eastAsiaTheme="minorEastAsia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061476F3" wp14:editId="3C75F672">
            <wp:extent cx="5941060" cy="3069771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1110" w:rsidRDefault="00C036E9" w:rsidP="00C036E9">
      <w:pPr>
        <w:jc w:val="center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График</w:t>
      </w:r>
      <w:r w:rsidR="00BE1110" w:rsidRPr="000A635E">
        <w:rPr>
          <w:rFonts w:eastAsiaTheme="minorEastAsia"/>
          <w:sz w:val="21"/>
          <w:szCs w:val="21"/>
        </w:rPr>
        <w:t xml:space="preserve"> №6   «Динамика показателей заболеваемости по возрастным группам за период с 201</w:t>
      </w:r>
      <w:r w:rsidR="00ED7164">
        <w:rPr>
          <w:rFonts w:eastAsiaTheme="minorEastAsia"/>
          <w:sz w:val="21"/>
          <w:szCs w:val="21"/>
        </w:rPr>
        <w:t>8 по 2020</w:t>
      </w:r>
      <w:r w:rsidR="00BE1110" w:rsidRPr="000A635E">
        <w:rPr>
          <w:rFonts w:eastAsiaTheme="minorEastAsia"/>
          <w:sz w:val="21"/>
          <w:szCs w:val="21"/>
        </w:rPr>
        <w:t xml:space="preserve"> гг.»</w:t>
      </w:r>
    </w:p>
    <w:p w:rsidR="00446531" w:rsidRDefault="00ED7164" w:rsidP="00C036E9">
      <w:pPr>
        <w:jc w:val="center"/>
        <w:rPr>
          <w:rFonts w:eastAsiaTheme="minorEastAsia"/>
          <w:sz w:val="21"/>
          <w:szCs w:val="21"/>
        </w:rPr>
      </w:pPr>
      <w:r>
        <w:rPr>
          <w:noProof/>
        </w:rPr>
        <w:drawing>
          <wp:inline distT="0" distB="0" distL="0" distR="0" wp14:anchorId="21FB6964" wp14:editId="622B6729">
            <wp:extent cx="5941060" cy="4158343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036E9" w:rsidRPr="000A635E" w:rsidRDefault="00C036E9" w:rsidP="00C036E9">
      <w:pPr>
        <w:jc w:val="center"/>
        <w:rPr>
          <w:rFonts w:eastAsiaTheme="minorEastAsia"/>
          <w:sz w:val="21"/>
          <w:szCs w:val="21"/>
        </w:rPr>
      </w:pPr>
    </w:p>
    <w:p w:rsidR="00D61E70" w:rsidRPr="000A635E" w:rsidRDefault="00D61E70" w:rsidP="00A055F0">
      <w:pPr>
        <w:tabs>
          <w:tab w:val="left" w:pos="2552"/>
        </w:tabs>
        <w:rPr>
          <w:rFonts w:eastAsiaTheme="minorEastAsia"/>
          <w:sz w:val="21"/>
          <w:szCs w:val="21"/>
        </w:rPr>
      </w:pPr>
    </w:p>
    <w:p w:rsidR="00BC1BF1" w:rsidRPr="000A635E" w:rsidRDefault="00A055F0" w:rsidP="00C036E9">
      <w:pPr>
        <w:spacing w:after="200" w:line="276" w:lineRule="auto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 xml:space="preserve">График № </w:t>
      </w:r>
      <w:r w:rsidR="00ED7164">
        <w:rPr>
          <w:rFonts w:eastAsiaTheme="minorEastAsia"/>
          <w:sz w:val="21"/>
          <w:szCs w:val="21"/>
        </w:rPr>
        <w:t>7</w:t>
      </w:r>
      <w:r w:rsidR="00ED7164" w:rsidRPr="000A635E">
        <w:rPr>
          <w:rFonts w:eastAsiaTheme="minorEastAsia"/>
          <w:sz w:val="21"/>
          <w:szCs w:val="21"/>
        </w:rPr>
        <w:t xml:space="preserve"> «</w:t>
      </w:r>
      <w:r w:rsidR="00BC1BF1" w:rsidRPr="000A635E">
        <w:rPr>
          <w:rFonts w:eastAsiaTheme="minorEastAsia"/>
          <w:sz w:val="21"/>
          <w:szCs w:val="21"/>
        </w:rPr>
        <w:t>Структура общей заболеваемости по нозологическим группам (все население) за 20</w:t>
      </w:r>
      <w:r w:rsidR="00BC4B2F">
        <w:rPr>
          <w:rFonts w:eastAsiaTheme="minorEastAsia"/>
          <w:sz w:val="21"/>
          <w:szCs w:val="21"/>
        </w:rPr>
        <w:t>20</w:t>
      </w:r>
      <w:r w:rsidR="00BC1BF1" w:rsidRPr="000A635E">
        <w:rPr>
          <w:rFonts w:eastAsiaTheme="minorEastAsia"/>
          <w:sz w:val="21"/>
          <w:szCs w:val="21"/>
        </w:rPr>
        <w:t>г.</w:t>
      </w:r>
    </w:p>
    <w:p w:rsidR="00BE1110" w:rsidRDefault="00ED7164" w:rsidP="00C036E9">
      <w:pPr>
        <w:spacing w:after="20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 w:rsidR="00BC1BF1" w:rsidRPr="000A635E">
        <w:rPr>
          <w:rFonts w:eastAsiaTheme="minorEastAsia"/>
          <w:sz w:val="24"/>
          <w:szCs w:val="24"/>
        </w:rPr>
        <w:t>В структуре общей заболеваемости всего населения в г.Нефтеюганске первое место занимают болезни органов дыхания (</w:t>
      </w:r>
      <w:r w:rsidR="00BC1BF1" w:rsidRPr="00587498">
        <w:rPr>
          <w:rFonts w:eastAsiaTheme="minorEastAsia"/>
          <w:sz w:val="24"/>
          <w:szCs w:val="24"/>
        </w:rPr>
        <w:t>3</w:t>
      </w:r>
      <w:r w:rsidRPr="00587498">
        <w:rPr>
          <w:rFonts w:eastAsiaTheme="minorEastAsia"/>
          <w:sz w:val="24"/>
          <w:szCs w:val="24"/>
        </w:rPr>
        <w:t>8,5%</w:t>
      </w:r>
      <w:r w:rsidRPr="000A635E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-</w:t>
      </w:r>
      <w:r w:rsidR="00BC1BF1" w:rsidRPr="000A635E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571,2</w:t>
      </w:r>
      <w:r w:rsidR="00BC1BF1" w:rsidRPr="000A635E">
        <w:rPr>
          <w:rFonts w:eastAsiaTheme="minorEastAsia"/>
          <w:sz w:val="24"/>
          <w:szCs w:val="24"/>
        </w:rPr>
        <w:t xml:space="preserve"> случая на 1000 населения); далее – </w:t>
      </w:r>
      <w:r w:rsidR="00D046ED" w:rsidRPr="000A635E">
        <w:rPr>
          <w:rFonts w:eastAsiaTheme="minorEastAsia"/>
          <w:sz w:val="24"/>
          <w:szCs w:val="24"/>
        </w:rPr>
        <w:t xml:space="preserve">болезни костно-мышечной системы </w:t>
      </w:r>
      <w:r w:rsidR="00BC1BF1" w:rsidRPr="000A635E">
        <w:rPr>
          <w:rFonts w:eastAsiaTheme="minorEastAsia"/>
          <w:sz w:val="24"/>
          <w:szCs w:val="24"/>
        </w:rPr>
        <w:t>(</w:t>
      </w:r>
      <w:r w:rsidRPr="00587498">
        <w:rPr>
          <w:rFonts w:eastAsiaTheme="minorEastAsia"/>
          <w:sz w:val="24"/>
          <w:szCs w:val="24"/>
        </w:rPr>
        <w:t>10,6</w:t>
      </w:r>
      <w:r w:rsidR="00BC1BF1" w:rsidRPr="00C4391C">
        <w:rPr>
          <w:rFonts w:eastAsiaTheme="minorEastAsia"/>
          <w:b/>
          <w:sz w:val="24"/>
          <w:szCs w:val="24"/>
        </w:rPr>
        <w:t xml:space="preserve"> </w:t>
      </w:r>
      <w:r w:rsidR="00BC1BF1" w:rsidRPr="00587498">
        <w:rPr>
          <w:rFonts w:eastAsiaTheme="minorEastAsia"/>
          <w:sz w:val="24"/>
          <w:szCs w:val="24"/>
        </w:rPr>
        <w:t>%</w:t>
      </w:r>
      <w:r w:rsidR="00BC1BF1" w:rsidRPr="000A635E">
        <w:rPr>
          <w:rFonts w:eastAsiaTheme="minorEastAsia"/>
          <w:sz w:val="24"/>
          <w:szCs w:val="24"/>
        </w:rPr>
        <w:t xml:space="preserve"> - </w:t>
      </w:r>
      <w:r w:rsidR="00C036E9">
        <w:rPr>
          <w:rFonts w:eastAsiaTheme="minorEastAsia"/>
          <w:sz w:val="24"/>
          <w:szCs w:val="24"/>
        </w:rPr>
        <w:t>1</w:t>
      </w:r>
      <w:r>
        <w:rPr>
          <w:rFonts w:eastAsiaTheme="minorEastAsia"/>
          <w:sz w:val="24"/>
          <w:szCs w:val="24"/>
        </w:rPr>
        <w:t>57,1</w:t>
      </w:r>
      <w:r w:rsidR="00D046ED" w:rsidRPr="000A635E">
        <w:rPr>
          <w:rFonts w:eastAsiaTheme="minorEastAsia"/>
          <w:sz w:val="24"/>
          <w:szCs w:val="24"/>
        </w:rPr>
        <w:t xml:space="preserve"> </w:t>
      </w:r>
      <w:r w:rsidR="00C036E9">
        <w:rPr>
          <w:rFonts w:eastAsiaTheme="minorEastAsia"/>
          <w:sz w:val="24"/>
          <w:szCs w:val="24"/>
        </w:rPr>
        <w:t>случаев</w:t>
      </w:r>
      <w:r w:rsidR="00BC1BF1" w:rsidRPr="000A635E">
        <w:rPr>
          <w:rFonts w:eastAsiaTheme="minorEastAsia"/>
          <w:sz w:val="24"/>
          <w:szCs w:val="24"/>
        </w:rPr>
        <w:t xml:space="preserve"> на 1000 населения), </w:t>
      </w:r>
      <w:r w:rsidR="00D046ED" w:rsidRPr="000A635E">
        <w:rPr>
          <w:rFonts w:eastAsiaTheme="minorEastAsia"/>
          <w:sz w:val="24"/>
          <w:szCs w:val="24"/>
        </w:rPr>
        <w:t xml:space="preserve">болезни органов кровообращения </w:t>
      </w:r>
      <w:r w:rsidR="00BC1BF1" w:rsidRPr="000A635E">
        <w:rPr>
          <w:rFonts w:eastAsiaTheme="minorEastAsia"/>
          <w:sz w:val="24"/>
          <w:szCs w:val="24"/>
        </w:rPr>
        <w:t>(</w:t>
      </w:r>
      <w:r w:rsidRPr="00587498">
        <w:rPr>
          <w:rFonts w:eastAsiaTheme="minorEastAsia"/>
          <w:sz w:val="24"/>
          <w:szCs w:val="24"/>
        </w:rPr>
        <w:t>8,3</w:t>
      </w:r>
      <w:r w:rsidR="00BC1BF1" w:rsidRPr="00613F59">
        <w:rPr>
          <w:rFonts w:eastAsiaTheme="minorEastAsia"/>
          <w:b/>
          <w:sz w:val="24"/>
          <w:szCs w:val="24"/>
        </w:rPr>
        <w:t>% -</w:t>
      </w:r>
      <w:r w:rsidR="00BC1BF1" w:rsidRPr="000A635E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122,5</w:t>
      </w:r>
      <w:r w:rsidR="00D046ED" w:rsidRPr="000A635E">
        <w:rPr>
          <w:rFonts w:eastAsiaTheme="minorEastAsia"/>
          <w:sz w:val="24"/>
          <w:szCs w:val="24"/>
        </w:rPr>
        <w:t xml:space="preserve"> </w:t>
      </w:r>
      <w:r w:rsidR="00BC1BF1" w:rsidRPr="000A635E">
        <w:rPr>
          <w:rFonts w:eastAsiaTheme="minorEastAsia"/>
          <w:sz w:val="24"/>
          <w:szCs w:val="24"/>
        </w:rPr>
        <w:t>случа</w:t>
      </w:r>
      <w:r w:rsidR="00A055F0">
        <w:rPr>
          <w:rFonts w:eastAsiaTheme="minorEastAsia"/>
          <w:sz w:val="24"/>
          <w:szCs w:val="24"/>
        </w:rPr>
        <w:t>ев</w:t>
      </w:r>
      <w:r w:rsidR="00BC1BF1" w:rsidRPr="000A635E">
        <w:rPr>
          <w:rFonts w:eastAsiaTheme="minorEastAsia"/>
          <w:sz w:val="24"/>
          <w:szCs w:val="24"/>
        </w:rPr>
        <w:t xml:space="preserve"> на 1000 населения).</w:t>
      </w:r>
    </w:p>
    <w:p w:rsidR="008D4D7F" w:rsidRPr="000A635E" w:rsidRDefault="008D4D7F" w:rsidP="00A055F0">
      <w:pPr>
        <w:spacing w:after="200"/>
        <w:rPr>
          <w:rFonts w:eastAsiaTheme="minorEastAsia"/>
          <w:sz w:val="24"/>
          <w:szCs w:val="24"/>
        </w:rPr>
      </w:pPr>
    </w:p>
    <w:p w:rsidR="006C4FDC" w:rsidRDefault="00ED7164" w:rsidP="00A055F0">
      <w:pPr>
        <w:rPr>
          <w:rFonts w:eastAsiaTheme="minorEastAsia"/>
          <w:sz w:val="21"/>
          <w:szCs w:val="21"/>
        </w:rPr>
      </w:pPr>
      <w:r>
        <w:rPr>
          <w:noProof/>
        </w:rPr>
        <w:drawing>
          <wp:inline distT="0" distB="0" distL="0" distR="0" wp14:anchorId="43E5A122" wp14:editId="6C76DB3E">
            <wp:extent cx="5941060" cy="3897086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C4FDC" w:rsidRDefault="006C4FDC" w:rsidP="00A055F0">
      <w:pPr>
        <w:rPr>
          <w:rFonts w:eastAsiaTheme="minorEastAsia"/>
          <w:sz w:val="21"/>
          <w:szCs w:val="21"/>
        </w:rPr>
      </w:pPr>
    </w:p>
    <w:p w:rsidR="00BC1BF1" w:rsidRPr="000A635E" w:rsidRDefault="00A055F0" w:rsidP="00A055F0">
      <w:pPr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 xml:space="preserve">График № </w:t>
      </w:r>
      <w:r w:rsidR="00ED7164">
        <w:rPr>
          <w:rFonts w:eastAsiaTheme="minorEastAsia"/>
          <w:sz w:val="21"/>
          <w:szCs w:val="21"/>
        </w:rPr>
        <w:t>8</w:t>
      </w:r>
      <w:r w:rsidR="00ED7164" w:rsidRPr="000A635E">
        <w:rPr>
          <w:rFonts w:eastAsiaTheme="minorEastAsia"/>
          <w:sz w:val="21"/>
          <w:szCs w:val="21"/>
        </w:rPr>
        <w:t xml:space="preserve"> «</w:t>
      </w:r>
      <w:r w:rsidR="00BC1BF1" w:rsidRPr="000A635E">
        <w:rPr>
          <w:rFonts w:eastAsiaTheme="minorEastAsia"/>
          <w:sz w:val="21"/>
          <w:szCs w:val="21"/>
        </w:rPr>
        <w:t>Структура общей заболеваемости по нозологическим группам (дети) за 20</w:t>
      </w:r>
      <w:r w:rsidR="00ED7164">
        <w:rPr>
          <w:rFonts w:eastAsiaTheme="minorEastAsia"/>
          <w:sz w:val="21"/>
          <w:szCs w:val="21"/>
        </w:rPr>
        <w:t>20</w:t>
      </w:r>
      <w:r w:rsidR="00BC1BF1" w:rsidRPr="000A635E">
        <w:rPr>
          <w:rFonts w:eastAsiaTheme="minorEastAsia"/>
          <w:sz w:val="21"/>
          <w:szCs w:val="21"/>
        </w:rPr>
        <w:t>г.</w:t>
      </w:r>
    </w:p>
    <w:p w:rsidR="00BC1BF1" w:rsidRPr="000A635E" w:rsidRDefault="00BC1BF1" w:rsidP="00C036E9">
      <w:pPr>
        <w:rPr>
          <w:rFonts w:eastAsiaTheme="minorEastAsia"/>
          <w:sz w:val="21"/>
          <w:szCs w:val="21"/>
        </w:rPr>
      </w:pPr>
    </w:p>
    <w:p w:rsidR="00BC1BF1" w:rsidRDefault="00BC1BF1" w:rsidP="00A055F0">
      <w:pPr>
        <w:ind w:firstLine="708"/>
        <w:rPr>
          <w:rFonts w:eastAsiaTheme="minorEastAsia"/>
          <w:sz w:val="24"/>
          <w:szCs w:val="21"/>
        </w:rPr>
      </w:pPr>
      <w:r w:rsidRPr="000A635E">
        <w:rPr>
          <w:rFonts w:eastAsiaTheme="minorEastAsia"/>
          <w:sz w:val="24"/>
          <w:szCs w:val="21"/>
        </w:rPr>
        <w:t>В структуре общей заболеваемости детей в г.Нефтеюганске первое место занимают болезни органов дыхания (</w:t>
      </w:r>
      <w:r w:rsidR="00ED7164">
        <w:rPr>
          <w:rFonts w:eastAsiaTheme="minorEastAsia"/>
          <w:sz w:val="24"/>
          <w:szCs w:val="21"/>
        </w:rPr>
        <w:t>69,2% - 1921,1</w:t>
      </w:r>
      <w:r w:rsidR="0050282B" w:rsidRPr="000A635E">
        <w:rPr>
          <w:rFonts w:eastAsiaTheme="minorEastAsia"/>
          <w:sz w:val="24"/>
          <w:szCs w:val="21"/>
        </w:rPr>
        <w:t xml:space="preserve"> </w:t>
      </w:r>
      <w:r w:rsidR="00A055F0">
        <w:rPr>
          <w:rFonts w:eastAsiaTheme="minorEastAsia"/>
          <w:sz w:val="24"/>
          <w:szCs w:val="21"/>
        </w:rPr>
        <w:t>случаев</w:t>
      </w:r>
      <w:r w:rsidRPr="000A635E">
        <w:rPr>
          <w:rFonts w:eastAsiaTheme="minorEastAsia"/>
          <w:sz w:val="24"/>
          <w:szCs w:val="21"/>
        </w:rPr>
        <w:t xml:space="preserve"> на 1000 детей); далее –</w:t>
      </w:r>
      <w:r w:rsidR="00ED7164">
        <w:rPr>
          <w:rFonts w:eastAsiaTheme="minorEastAsia"/>
          <w:sz w:val="24"/>
          <w:szCs w:val="21"/>
        </w:rPr>
        <w:t xml:space="preserve"> болезни органов пищеварения</w:t>
      </w:r>
      <w:r w:rsidR="0050282B" w:rsidRPr="000A635E">
        <w:rPr>
          <w:rFonts w:eastAsiaTheme="minorEastAsia"/>
          <w:sz w:val="24"/>
          <w:szCs w:val="21"/>
        </w:rPr>
        <w:t xml:space="preserve"> </w:t>
      </w:r>
      <w:r w:rsidR="00ED7164">
        <w:rPr>
          <w:rFonts w:eastAsiaTheme="minorEastAsia"/>
          <w:sz w:val="24"/>
          <w:szCs w:val="21"/>
        </w:rPr>
        <w:t>(</w:t>
      </w:r>
      <w:r w:rsidR="00A055F0">
        <w:rPr>
          <w:rFonts w:eastAsiaTheme="minorEastAsia"/>
          <w:sz w:val="24"/>
          <w:szCs w:val="21"/>
        </w:rPr>
        <w:t>4,8</w:t>
      </w:r>
      <w:r w:rsidRPr="000A635E">
        <w:rPr>
          <w:rFonts w:eastAsiaTheme="minorEastAsia"/>
          <w:sz w:val="24"/>
          <w:szCs w:val="21"/>
        </w:rPr>
        <w:t xml:space="preserve">% - </w:t>
      </w:r>
      <w:r w:rsidR="00ED7164">
        <w:rPr>
          <w:rFonts w:eastAsiaTheme="minorEastAsia"/>
          <w:sz w:val="24"/>
          <w:szCs w:val="21"/>
        </w:rPr>
        <w:t>134,1</w:t>
      </w:r>
      <w:r w:rsidRPr="000A635E">
        <w:rPr>
          <w:rFonts w:eastAsiaTheme="minorEastAsia"/>
          <w:sz w:val="24"/>
          <w:szCs w:val="21"/>
        </w:rPr>
        <w:t xml:space="preserve"> случая на 1000 детей</w:t>
      </w:r>
      <w:r w:rsidR="00ED7164">
        <w:rPr>
          <w:rFonts w:eastAsiaTheme="minorEastAsia"/>
          <w:sz w:val="24"/>
          <w:szCs w:val="21"/>
        </w:rPr>
        <w:t>); далее – болезни нервной системы</w:t>
      </w:r>
      <w:r w:rsidR="0050282B" w:rsidRPr="000A635E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>(</w:t>
      </w:r>
      <w:r w:rsidR="00ED7164">
        <w:rPr>
          <w:rFonts w:eastAsiaTheme="minorEastAsia"/>
          <w:sz w:val="24"/>
          <w:szCs w:val="21"/>
        </w:rPr>
        <w:t>4,7</w:t>
      </w:r>
      <w:r w:rsidRPr="000A635E">
        <w:rPr>
          <w:rFonts w:eastAsiaTheme="minorEastAsia"/>
          <w:sz w:val="24"/>
          <w:szCs w:val="21"/>
        </w:rPr>
        <w:t xml:space="preserve">% - </w:t>
      </w:r>
      <w:r w:rsidR="00ED7164">
        <w:rPr>
          <w:rFonts w:eastAsiaTheme="minorEastAsia"/>
          <w:sz w:val="24"/>
          <w:szCs w:val="21"/>
        </w:rPr>
        <w:t>129,5</w:t>
      </w:r>
      <w:r w:rsidR="0050282B" w:rsidRPr="000A635E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>случая на 1000 детей).</w:t>
      </w:r>
    </w:p>
    <w:p w:rsidR="00ED7164" w:rsidRDefault="00ED7164" w:rsidP="00A055F0">
      <w:pPr>
        <w:ind w:firstLine="708"/>
        <w:rPr>
          <w:rFonts w:eastAsiaTheme="minorEastAsia"/>
          <w:sz w:val="24"/>
          <w:szCs w:val="21"/>
        </w:rPr>
      </w:pPr>
    </w:p>
    <w:p w:rsidR="008D4D7F" w:rsidRPr="000A635E" w:rsidRDefault="00ED7164" w:rsidP="00C036E9">
      <w:pPr>
        <w:spacing w:after="200" w:line="276" w:lineRule="auto"/>
        <w:rPr>
          <w:rFonts w:eastAsiaTheme="minor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901C4BC" wp14:editId="1B3E0512">
            <wp:extent cx="5941060" cy="38100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C1BF1" w:rsidRPr="000A635E" w:rsidRDefault="00C92752" w:rsidP="00C036E9">
      <w:pPr>
        <w:spacing w:after="200" w:line="276" w:lineRule="auto"/>
        <w:rPr>
          <w:rFonts w:eastAsiaTheme="minorEastAsia"/>
        </w:rPr>
      </w:pPr>
      <w:r>
        <w:rPr>
          <w:rFonts w:eastAsiaTheme="minorEastAsia"/>
          <w:sz w:val="21"/>
          <w:szCs w:val="21"/>
        </w:rPr>
        <w:t xml:space="preserve">График № </w:t>
      </w:r>
      <w:r w:rsidR="000518C5">
        <w:rPr>
          <w:rFonts w:eastAsiaTheme="minorEastAsia"/>
          <w:sz w:val="21"/>
          <w:szCs w:val="21"/>
        </w:rPr>
        <w:t>9</w:t>
      </w:r>
      <w:r w:rsidR="000518C5" w:rsidRPr="000A635E">
        <w:rPr>
          <w:rFonts w:eastAsiaTheme="minorEastAsia"/>
          <w:sz w:val="21"/>
          <w:szCs w:val="21"/>
        </w:rPr>
        <w:t xml:space="preserve"> «</w:t>
      </w:r>
      <w:r w:rsidR="00BC1BF1" w:rsidRPr="000A635E">
        <w:rPr>
          <w:rFonts w:eastAsiaTheme="minorEastAsia"/>
          <w:sz w:val="21"/>
          <w:szCs w:val="21"/>
        </w:rPr>
        <w:t>Структура общей заболеваемости по нозологическим группам (подростки) за 20</w:t>
      </w:r>
      <w:r w:rsidR="00CA7F14">
        <w:rPr>
          <w:rFonts w:eastAsiaTheme="minorEastAsia"/>
          <w:sz w:val="21"/>
          <w:szCs w:val="21"/>
        </w:rPr>
        <w:t>20</w:t>
      </w:r>
      <w:r w:rsidR="00BC1BF1" w:rsidRPr="000A635E">
        <w:rPr>
          <w:rFonts w:eastAsiaTheme="minorEastAsia"/>
          <w:sz w:val="21"/>
          <w:szCs w:val="21"/>
        </w:rPr>
        <w:t>г.</w:t>
      </w:r>
    </w:p>
    <w:p w:rsidR="00BC1BF1" w:rsidRPr="000518C5" w:rsidRDefault="000518C5" w:rsidP="000518C5">
      <w:pPr>
        <w:tabs>
          <w:tab w:val="left" w:pos="851"/>
        </w:tabs>
        <w:rPr>
          <w:rFonts w:eastAsiaTheme="minorEastAsia"/>
          <w:sz w:val="24"/>
        </w:rPr>
      </w:pPr>
      <w:r>
        <w:rPr>
          <w:rFonts w:eastAsiaTheme="minorEastAsia"/>
          <w:sz w:val="24"/>
          <w:szCs w:val="21"/>
        </w:rPr>
        <w:tab/>
      </w:r>
      <w:r w:rsidR="00BC1BF1" w:rsidRPr="000518C5">
        <w:rPr>
          <w:rFonts w:eastAsiaTheme="minorEastAsia"/>
          <w:sz w:val="24"/>
          <w:szCs w:val="21"/>
        </w:rPr>
        <w:t>В структуре общей заболеваемости подростков в г.Нефтеюганске первое место занимают болезни органов дыхания (</w:t>
      </w:r>
      <w:r w:rsidRPr="000518C5">
        <w:rPr>
          <w:rFonts w:eastAsiaTheme="minorEastAsia"/>
          <w:sz w:val="24"/>
          <w:szCs w:val="21"/>
        </w:rPr>
        <w:t>57,0</w:t>
      </w:r>
      <w:r w:rsidR="00BC1BF1" w:rsidRPr="000518C5">
        <w:rPr>
          <w:rFonts w:eastAsiaTheme="minorEastAsia"/>
          <w:sz w:val="24"/>
          <w:szCs w:val="21"/>
        </w:rPr>
        <w:t xml:space="preserve"> % - </w:t>
      </w:r>
      <w:r w:rsidRPr="000518C5">
        <w:rPr>
          <w:rFonts w:eastAsiaTheme="minorEastAsia"/>
          <w:sz w:val="24"/>
          <w:szCs w:val="21"/>
        </w:rPr>
        <w:t>1345,3</w:t>
      </w:r>
      <w:r w:rsidR="00BC1BF1" w:rsidRPr="000518C5">
        <w:rPr>
          <w:rFonts w:eastAsiaTheme="minorEastAsia"/>
          <w:sz w:val="24"/>
          <w:szCs w:val="21"/>
        </w:rPr>
        <w:t xml:space="preserve"> случа</w:t>
      </w:r>
      <w:r w:rsidRPr="000518C5">
        <w:rPr>
          <w:rFonts w:eastAsiaTheme="minorEastAsia"/>
          <w:sz w:val="24"/>
          <w:szCs w:val="21"/>
        </w:rPr>
        <w:t xml:space="preserve">я на 1000 подростков); далее – </w:t>
      </w:r>
      <w:r w:rsidR="00D70542" w:rsidRPr="000518C5">
        <w:rPr>
          <w:rFonts w:eastAsiaTheme="minorEastAsia"/>
          <w:sz w:val="24"/>
          <w:szCs w:val="21"/>
        </w:rPr>
        <w:t xml:space="preserve">болезни нервной системы </w:t>
      </w:r>
      <w:r w:rsidR="00BC1BF1" w:rsidRPr="000518C5">
        <w:rPr>
          <w:rFonts w:eastAsiaTheme="minorEastAsia"/>
          <w:sz w:val="24"/>
          <w:szCs w:val="21"/>
        </w:rPr>
        <w:t>(</w:t>
      </w:r>
      <w:r w:rsidRPr="000518C5">
        <w:rPr>
          <w:rFonts w:eastAsiaTheme="minorEastAsia"/>
          <w:sz w:val="24"/>
          <w:szCs w:val="21"/>
        </w:rPr>
        <w:t>6,4</w:t>
      </w:r>
      <w:r w:rsidR="00BC1BF1" w:rsidRPr="000518C5">
        <w:rPr>
          <w:rFonts w:eastAsiaTheme="minorEastAsia"/>
          <w:sz w:val="24"/>
          <w:szCs w:val="21"/>
        </w:rPr>
        <w:t xml:space="preserve">% - </w:t>
      </w:r>
      <w:r w:rsidR="00C92752" w:rsidRPr="000518C5">
        <w:rPr>
          <w:rFonts w:eastAsiaTheme="minorEastAsia"/>
          <w:sz w:val="24"/>
          <w:szCs w:val="21"/>
        </w:rPr>
        <w:t>1</w:t>
      </w:r>
      <w:r w:rsidRPr="000518C5">
        <w:rPr>
          <w:rFonts w:eastAsiaTheme="minorEastAsia"/>
          <w:sz w:val="24"/>
          <w:szCs w:val="21"/>
        </w:rPr>
        <w:t>151,3</w:t>
      </w:r>
      <w:r w:rsidR="00BC1BF1" w:rsidRPr="000518C5">
        <w:rPr>
          <w:rFonts w:eastAsiaTheme="minorEastAsia"/>
          <w:sz w:val="24"/>
          <w:szCs w:val="21"/>
        </w:rPr>
        <w:t xml:space="preserve"> случа</w:t>
      </w:r>
      <w:r w:rsidR="00C92752" w:rsidRPr="000518C5">
        <w:rPr>
          <w:rFonts w:eastAsiaTheme="minorEastAsia"/>
          <w:sz w:val="24"/>
          <w:szCs w:val="21"/>
        </w:rPr>
        <w:t>я</w:t>
      </w:r>
      <w:r w:rsidR="00BC1BF1" w:rsidRPr="000518C5">
        <w:rPr>
          <w:rFonts w:eastAsiaTheme="minorEastAsia"/>
          <w:sz w:val="24"/>
          <w:szCs w:val="21"/>
        </w:rPr>
        <w:t xml:space="preserve"> на 1000 подростков), болезни </w:t>
      </w:r>
      <w:r w:rsidR="00C92752" w:rsidRPr="000518C5">
        <w:rPr>
          <w:rFonts w:eastAsiaTheme="minorEastAsia"/>
          <w:sz w:val="24"/>
          <w:szCs w:val="21"/>
        </w:rPr>
        <w:t>костно-мышечной</w:t>
      </w:r>
      <w:r w:rsidR="00BC1BF1" w:rsidRPr="000518C5">
        <w:rPr>
          <w:rFonts w:eastAsiaTheme="minorEastAsia"/>
          <w:sz w:val="24"/>
          <w:szCs w:val="21"/>
        </w:rPr>
        <w:t xml:space="preserve"> системы</w:t>
      </w:r>
      <w:r w:rsidR="00C92752" w:rsidRPr="000518C5">
        <w:rPr>
          <w:rFonts w:eastAsiaTheme="minorEastAsia"/>
          <w:sz w:val="24"/>
          <w:szCs w:val="21"/>
        </w:rPr>
        <w:t xml:space="preserve"> </w:t>
      </w:r>
      <w:r w:rsidR="00BC1BF1" w:rsidRPr="000518C5">
        <w:rPr>
          <w:rFonts w:eastAsiaTheme="minorEastAsia"/>
          <w:sz w:val="24"/>
          <w:szCs w:val="21"/>
        </w:rPr>
        <w:t>(</w:t>
      </w:r>
      <w:r w:rsidRPr="000518C5">
        <w:rPr>
          <w:rFonts w:eastAsiaTheme="minorEastAsia"/>
          <w:sz w:val="24"/>
          <w:szCs w:val="21"/>
        </w:rPr>
        <w:t>5,4</w:t>
      </w:r>
      <w:r w:rsidR="0050282B" w:rsidRPr="000518C5">
        <w:rPr>
          <w:rFonts w:eastAsiaTheme="minorEastAsia"/>
          <w:sz w:val="24"/>
          <w:szCs w:val="21"/>
        </w:rPr>
        <w:t>%</w:t>
      </w:r>
      <w:r w:rsidR="00BC1BF1" w:rsidRPr="000518C5">
        <w:rPr>
          <w:rFonts w:eastAsiaTheme="minorEastAsia"/>
          <w:sz w:val="24"/>
          <w:szCs w:val="21"/>
        </w:rPr>
        <w:t xml:space="preserve"> - </w:t>
      </w:r>
      <w:r w:rsidRPr="000518C5">
        <w:rPr>
          <w:rFonts w:eastAsiaTheme="minorEastAsia"/>
          <w:sz w:val="24"/>
          <w:szCs w:val="21"/>
        </w:rPr>
        <w:t>127,7</w:t>
      </w:r>
      <w:r w:rsidR="0050282B" w:rsidRPr="000518C5">
        <w:rPr>
          <w:rFonts w:eastAsiaTheme="minorEastAsia"/>
          <w:sz w:val="24"/>
          <w:szCs w:val="21"/>
        </w:rPr>
        <w:t xml:space="preserve"> </w:t>
      </w:r>
      <w:r w:rsidR="00BC1BF1" w:rsidRPr="000518C5">
        <w:rPr>
          <w:rFonts w:eastAsiaTheme="minorEastAsia"/>
          <w:sz w:val="24"/>
          <w:szCs w:val="21"/>
        </w:rPr>
        <w:t>случая на 1000 подростков).</w:t>
      </w:r>
    </w:p>
    <w:p w:rsidR="00215D5A" w:rsidRPr="000A635E" w:rsidRDefault="00215D5A" w:rsidP="00C036E9">
      <w:pPr>
        <w:spacing w:after="200" w:line="276" w:lineRule="auto"/>
        <w:rPr>
          <w:rFonts w:eastAsiaTheme="minorEastAsia"/>
          <w:sz w:val="24"/>
          <w:szCs w:val="24"/>
        </w:rPr>
      </w:pPr>
    </w:p>
    <w:p w:rsidR="00220CE1" w:rsidRDefault="000518C5" w:rsidP="00DF2D55">
      <w:pPr>
        <w:jc w:val="both"/>
        <w:rPr>
          <w:rFonts w:eastAsiaTheme="minorEastAsia"/>
          <w:sz w:val="21"/>
          <w:szCs w:val="21"/>
        </w:rPr>
      </w:pPr>
      <w:r>
        <w:rPr>
          <w:noProof/>
        </w:rPr>
        <w:drawing>
          <wp:inline distT="0" distB="0" distL="0" distR="0" wp14:anchorId="4CC5170B" wp14:editId="183EE4C9">
            <wp:extent cx="5941060" cy="355346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20CE1" w:rsidRDefault="00220CE1" w:rsidP="00DF2D55">
      <w:pPr>
        <w:jc w:val="both"/>
        <w:rPr>
          <w:rFonts w:eastAsiaTheme="minorEastAsia"/>
          <w:sz w:val="21"/>
          <w:szCs w:val="21"/>
        </w:rPr>
      </w:pPr>
    </w:p>
    <w:p w:rsidR="00BC1BF1" w:rsidRPr="000A635E" w:rsidRDefault="00DF2D55" w:rsidP="00DF2D55">
      <w:pPr>
        <w:jc w:val="both"/>
        <w:rPr>
          <w:rFonts w:eastAsiaTheme="minorEastAsia"/>
        </w:rPr>
      </w:pPr>
      <w:r>
        <w:rPr>
          <w:rFonts w:eastAsiaTheme="minorEastAsia"/>
          <w:sz w:val="21"/>
          <w:szCs w:val="21"/>
        </w:rPr>
        <w:lastRenderedPageBreak/>
        <w:t xml:space="preserve">График № 10 </w:t>
      </w:r>
      <w:r w:rsidR="00BC1BF1" w:rsidRPr="000A635E">
        <w:rPr>
          <w:rFonts w:eastAsiaTheme="minorEastAsia"/>
          <w:sz w:val="21"/>
          <w:szCs w:val="21"/>
        </w:rPr>
        <w:t>«Структура общей заболеваемости по нозологическим группам (взрослые) за 20</w:t>
      </w:r>
      <w:r w:rsidR="00CF7780">
        <w:rPr>
          <w:rFonts w:eastAsiaTheme="minorEastAsia"/>
          <w:sz w:val="21"/>
          <w:szCs w:val="21"/>
        </w:rPr>
        <w:t>20</w:t>
      </w:r>
      <w:r w:rsidR="00BC1BF1" w:rsidRPr="000A635E">
        <w:rPr>
          <w:rFonts w:eastAsiaTheme="minorEastAsia"/>
          <w:sz w:val="21"/>
          <w:szCs w:val="21"/>
        </w:rPr>
        <w:t>г.</w:t>
      </w:r>
    </w:p>
    <w:p w:rsidR="00BC1BF1" w:rsidRPr="000A635E" w:rsidRDefault="00BC1BF1" w:rsidP="00C036E9">
      <w:pPr>
        <w:jc w:val="both"/>
        <w:rPr>
          <w:rFonts w:eastAsiaTheme="minorEastAsia"/>
          <w:sz w:val="21"/>
          <w:szCs w:val="21"/>
        </w:rPr>
      </w:pPr>
    </w:p>
    <w:p w:rsidR="000518C5" w:rsidRPr="000518C5" w:rsidRDefault="000518C5" w:rsidP="000518C5">
      <w:pPr>
        <w:jc w:val="both"/>
        <w:rPr>
          <w:rFonts w:eastAsiaTheme="minorEastAsia"/>
          <w:sz w:val="24"/>
          <w:szCs w:val="21"/>
        </w:rPr>
      </w:pPr>
      <w:r>
        <w:rPr>
          <w:rFonts w:eastAsiaTheme="minorEastAsia"/>
          <w:sz w:val="24"/>
          <w:szCs w:val="21"/>
        </w:rPr>
        <w:tab/>
      </w:r>
      <w:r w:rsidR="00BC1BF1" w:rsidRPr="000518C5">
        <w:rPr>
          <w:rFonts w:eastAsiaTheme="minorEastAsia"/>
          <w:sz w:val="24"/>
          <w:szCs w:val="21"/>
        </w:rPr>
        <w:t xml:space="preserve">В структуре общей заболеваемости взрослого населения в г.Нефтеюганске первое место занимают </w:t>
      </w:r>
      <w:r w:rsidR="00DF2D55" w:rsidRPr="000518C5">
        <w:rPr>
          <w:rFonts w:eastAsiaTheme="minorEastAsia"/>
          <w:sz w:val="24"/>
          <w:szCs w:val="21"/>
        </w:rPr>
        <w:t xml:space="preserve">болезни </w:t>
      </w:r>
      <w:r w:rsidR="002668B6" w:rsidRPr="000518C5">
        <w:rPr>
          <w:rFonts w:eastAsiaTheme="minorEastAsia"/>
          <w:sz w:val="24"/>
          <w:szCs w:val="21"/>
        </w:rPr>
        <w:t>органов дыхания (</w:t>
      </w:r>
      <w:r w:rsidRPr="000518C5">
        <w:rPr>
          <w:rFonts w:eastAsiaTheme="minorEastAsia"/>
          <w:sz w:val="24"/>
          <w:szCs w:val="21"/>
        </w:rPr>
        <w:t>19,2</w:t>
      </w:r>
      <w:r w:rsidR="002668B6" w:rsidRPr="000518C5">
        <w:rPr>
          <w:rFonts w:eastAsiaTheme="minorEastAsia"/>
          <w:sz w:val="24"/>
          <w:szCs w:val="21"/>
        </w:rPr>
        <w:t xml:space="preserve">% - </w:t>
      </w:r>
      <w:r w:rsidRPr="000518C5">
        <w:rPr>
          <w:rFonts w:eastAsiaTheme="minorEastAsia"/>
          <w:sz w:val="24"/>
          <w:szCs w:val="21"/>
        </w:rPr>
        <w:t>218,4</w:t>
      </w:r>
      <w:r w:rsidR="002668B6" w:rsidRPr="000518C5">
        <w:rPr>
          <w:rFonts w:eastAsiaTheme="minorEastAsia"/>
          <w:sz w:val="24"/>
          <w:szCs w:val="21"/>
        </w:rPr>
        <w:t xml:space="preserve"> случая на 1000 населения),</w:t>
      </w:r>
      <w:r w:rsidR="002A0CD2" w:rsidRPr="000518C5">
        <w:rPr>
          <w:rFonts w:eastAsiaTheme="minorEastAsia"/>
          <w:sz w:val="24"/>
          <w:szCs w:val="21"/>
        </w:rPr>
        <w:t>); далее –</w:t>
      </w:r>
      <w:r w:rsidR="006E56BD" w:rsidRPr="000518C5">
        <w:rPr>
          <w:rFonts w:eastAsiaTheme="minorEastAsia"/>
          <w:sz w:val="24"/>
          <w:szCs w:val="21"/>
        </w:rPr>
        <w:t xml:space="preserve"> </w:t>
      </w:r>
      <w:r w:rsidR="00BC1D4A" w:rsidRPr="000518C5">
        <w:rPr>
          <w:rFonts w:eastAsiaTheme="minorEastAsia"/>
          <w:sz w:val="24"/>
          <w:szCs w:val="21"/>
        </w:rPr>
        <w:t>болезни костно-мышечной системы</w:t>
      </w:r>
      <w:r w:rsidR="00C07318" w:rsidRPr="000518C5">
        <w:rPr>
          <w:rFonts w:eastAsiaTheme="minorEastAsia"/>
          <w:sz w:val="24"/>
          <w:szCs w:val="21"/>
        </w:rPr>
        <w:t xml:space="preserve"> </w:t>
      </w:r>
      <w:r w:rsidR="00BC1BF1" w:rsidRPr="000518C5">
        <w:rPr>
          <w:rFonts w:eastAsiaTheme="minorEastAsia"/>
          <w:sz w:val="24"/>
          <w:szCs w:val="21"/>
        </w:rPr>
        <w:t>(</w:t>
      </w:r>
      <w:r w:rsidRPr="000518C5">
        <w:rPr>
          <w:rFonts w:eastAsiaTheme="minorEastAsia"/>
          <w:sz w:val="24"/>
          <w:szCs w:val="21"/>
        </w:rPr>
        <w:t>15,9</w:t>
      </w:r>
      <w:r w:rsidR="00BC1BF1" w:rsidRPr="000518C5">
        <w:rPr>
          <w:rFonts w:eastAsiaTheme="minorEastAsia"/>
          <w:sz w:val="24"/>
          <w:szCs w:val="21"/>
        </w:rPr>
        <w:t xml:space="preserve">% - </w:t>
      </w:r>
      <w:r w:rsidRPr="000518C5">
        <w:rPr>
          <w:rFonts w:eastAsiaTheme="minorEastAsia"/>
          <w:sz w:val="24"/>
          <w:szCs w:val="21"/>
        </w:rPr>
        <w:t>181,2</w:t>
      </w:r>
      <w:r w:rsidR="00BC1BF1" w:rsidRPr="000518C5">
        <w:rPr>
          <w:rFonts w:eastAsiaTheme="minorEastAsia"/>
          <w:sz w:val="24"/>
          <w:szCs w:val="21"/>
        </w:rPr>
        <w:t xml:space="preserve"> случ</w:t>
      </w:r>
      <w:r w:rsidR="001D5BDA" w:rsidRPr="000518C5">
        <w:rPr>
          <w:rFonts w:eastAsiaTheme="minorEastAsia"/>
          <w:sz w:val="24"/>
          <w:szCs w:val="21"/>
        </w:rPr>
        <w:t>а</w:t>
      </w:r>
      <w:r w:rsidR="00C07318" w:rsidRPr="000518C5">
        <w:rPr>
          <w:rFonts w:eastAsiaTheme="minorEastAsia"/>
          <w:sz w:val="24"/>
          <w:szCs w:val="21"/>
        </w:rPr>
        <w:t>я</w:t>
      </w:r>
      <w:r w:rsidR="00BC1BF1" w:rsidRPr="000518C5">
        <w:rPr>
          <w:rFonts w:eastAsiaTheme="minorEastAsia"/>
          <w:sz w:val="24"/>
          <w:szCs w:val="21"/>
        </w:rPr>
        <w:t xml:space="preserve"> на 1000 населения)</w:t>
      </w:r>
      <w:r w:rsidR="002A0CD2" w:rsidRPr="000518C5">
        <w:rPr>
          <w:rFonts w:eastAsiaTheme="minorEastAsia"/>
          <w:sz w:val="24"/>
          <w:szCs w:val="21"/>
        </w:rPr>
        <w:t>,</w:t>
      </w:r>
      <w:r w:rsidR="006E56BD" w:rsidRPr="000518C5">
        <w:rPr>
          <w:rFonts w:eastAsiaTheme="minorEastAsia"/>
          <w:sz w:val="24"/>
          <w:szCs w:val="21"/>
        </w:rPr>
        <w:t xml:space="preserve"> болезни </w:t>
      </w:r>
      <w:r w:rsidR="00C07318" w:rsidRPr="000518C5">
        <w:rPr>
          <w:rFonts w:eastAsiaTheme="minorEastAsia"/>
          <w:sz w:val="24"/>
          <w:szCs w:val="21"/>
        </w:rPr>
        <w:t xml:space="preserve">органов кровообращения </w:t>
      </w:r>
      <w:r w:rsidR="00BC1BF1" w:rsidRPr="000518C5">
        <w:rPr>
          <w:rFonts w:eastAsiaTheme="minorEastAsia"/>
          <w:sz w:val="24"/>
          <w:szCs w:val="21"/>
        </w:rPr>
        <w:t>(</w:t>
      </w:r>
      <w:r w:rsidRPr="000518C5">
        <w:rPr>
          <w:rFonts w:eastAsiaTheme="minorEastAsia"/>
          <w:sz w:val="24"/>
          <w:szCs w:val="21"/>
        </w:rPr>
        <w:t>13,5</w:t>
      </w:r>
      <w:r w:rsidR="00BC1BF1" w:rsidRPr="000518C5">
        <w:rPr>
          <w:rFonts w:eastAsiaTheme="minorEastAsia"/>
          <w:sz w:val="24"/>
          <w:szCs w:val="21"/>
        </w:rPr>
        <w:t xml:space="preserve">% - </w:t>
      </w:r>
      <w:r w:rsidRPr="000518C5">
        <w:rPr>
          <w:rFonts w:eastAsiaTheme="minorEastAsia"/>
          <w:sz w:val="24"/>
          <w:szCs w:val="21"/>
        </w:rPr>
        <w:t>154,2</w:t>
      </w:r>
      <w:r w:rsidR="006E56BD" w:rsidRPr="000518C5">
        <w:rPr>
          <w:rFonts w:eastAsiaTheme="minorEastAsia"/>
          <w:sz w:val="24"/>
          <w:szCs w:val="21"/>
        </w:rPr>
        <w:t xml:space="preserve"> </w:t>
      </w:r>
      <w:r w:rsidR="00BC1BF1" w:rsidRPr="000518C5">
        <w:rPr>
          <w:rFonts w:eastAsiaTheme="minorEastAsia"/>
          <w:sz w:val="24"/>
          <w:szCs w:val="21"/>
        </w:rPr>
        <w:t>случая на 1000 населения)</w:t>
      </w:r>
      <w:r w:rsidR="002A0CD2" w:rsidRPr="000518C5">
        <w:rPr>
          <w:rFonts w:eastAsiaTheme="minorEastAsia"/>
          <w:sz w:val="24"/>
          <w:szCs w:val="21"/>
        </w:rPr>
        <w:t>.</w:t>
      </w:r>
    </w:p>
    <w:p w:rsidR="00BE1110" w:rsidRPr="000518C5" w:rsidRDefault="000518C5" w:rsidP="000518C5">
      <w:pPr>
        <w:jc w:val="both"/>
        <w:rPr>
          <w:rFonts w:eastAsiaTheme="minorEastAsia"/>
          <w:sz w:val="24"/>
          <w:szCs w:val="21"/>
        </w:rPr>
      </w:pPr>
      <w:r>
        <w:rPr>
          <w:rFonts w:eastAsiaTheme="minorEastAsia"/>
          <w:sz w:val="24"/>
          <w:szCs w:val="21"/>
        </w:rPr>
        <w:tab/>
      </w:r>
      <w:r w:rsidR="00BE1110" w:rsidRPr="000A635E">
        <w:rPr>
          <w:rFonts w:eastAsiaTheme="minorEastAsia"/>
          <w:sz w:val="24"/>
          <w:szCs w:val="24"/>
        </w:rPr>
        <w:t xml:space="preserve">Первое место в группе лидирующих заболеваний занимают болезни органов дыхания, а в их структуре в целом и по возрастным группам лидируют такие виды патологии, как: острые респираторные инфекции верхних дыхательных путей, </w:t>
      </w:r>
      <w:r w:rsidR="00D3445F" w:rsidRPr="000A635E">
        <w:rPr>
          <w:rFonts w:eastAsiaTheme="minorEastAsia"/>
          <w:sz w:val="24"/>
          <w:szCs w:val="24"/>
        </w:rPr>
        <w:t>астма и астматический статус</w:t>
      </w:r>
      <w:r w:rsidR="00BE1110" w:rsidRPr="000A635E">
        <w:rPr>
          <w:rFonts w:eastAsiaTheme="minorEastAsia"/>
          <w:sz w:val="24"/>
          <w:szCs w:val="24"/>
        </w:rPr>
        <w:t xml:space="preserve">. Причиной этому, вероятно, послужило неблагоприятное воздействие таких факторов окружающей среды, </w:t>
      </w:r>
      <w:r w:rsidR="00C65197" w:rsidRPr="000A635E">
        <w:rPr>
          <w:rFonts w:eastAsiaTheme="minorEastAsia"/>
          <w:sz w:val="24"/>
          <w:szCs w:val="24"/>
        </w:rPr>
        <w:t xml:space="preserve">как </w:t>
      </w:r>
      <w:r w:rsidR="00BE1110" w:rsidRPr="000A635E">
        <w:rPr>
          <w:rFonts w:eastAsiaTheme="minorEastAsia"/>
          <w:sz w:val="24"/>
          <w:szCs w:val="24"/>
        </w:rPr>
        <w:t xml:space="preserve">климатические </w:t>
      </w:r>
      <w:r w:rsidR="00587498" w:rsidRPr="000A635E">
        <w:rPr>
          <w:rFonts w:eastAsiaTheme="minorEastAsia"/>
          <w:sz w:val="24"/>
          <w:szCs w:val="24"/>
        </w:rPr>
        <w:t>условия, атмосферный</w:t>
      </w:r>
      <w:r w:rsidR="00BE1110" w:rsidRPr="000A635E">
        <w:rPr>
          <w:rFonts w:eastAsiaTheme="minorEastAsia"/>
          <w:sz w:val="24"/>
          <w:szCs w:val="24"/>
        </w:rPr>
        <w:t xml:space="preserve"> воздух, воздух рабочей зоны, микроклимат помещений. Первое ранговое место в структуре заболеваемости с ВУТ занимают также болезни органов дыхания. </w:t>
      </w:r>
    </w:p>
    <w:p w:rsidR="00BE1110" w:rsidRPr="000A635E" w:rsidRDefault="00BE1110" w:rsidP="00C036E9">
      <w:pPr>
        <w:autoSpaceDE w:val="0"/>
        <w:autoSpaceDN w:val="0"/>
        <w:ind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Использование населением воды, не соответствующей требованиям санитарных норм и правил, для питьевых нужд и для приготовления пищи, является одним из факторов высокого уровня заболеваемости </w:t>
      </w:r>
      <w:r w:rsidR="00587498" w:rsidRPr="000A635E">
        <w:rPr>
          <w:rFonts w:eastAsiaTheme="minorEastAsia"/>
          <w:sz w:val="24"/>
          <w:szCs w:val="24"/>
        </w:rPr>
        <w:t>по классам</w:t>
      </w:r>
      <w:r w:rsidRPr="000A635E">
        <w:rPr>
          <w:rFonts w:eastAsiaTheme="minorEastAsia"/>
          <w:sz w:val="24"/>
          <w:szCs w:val="24"/>
        </w:rPr>
        <w:t>: болезни системы пищеварения, мочеполовой системы, болезни кожи и пр.</w:t>
      </w:r>
    </w:p>
    <w:p w:rsidR="00BE1110" w:rsidRPr="000A635E" w:rsidRDefault="00BE1110" w:rsidP="00C036E9">
      <w:pPr>
        <w:autoSpaceDE w:val="0"/>
        <w:autoSpaceDN w:val="0"/>
        <w:ind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Сложившаяся ситуация с состоянием и качеством питания населения города Нефтеюганска, с учетом влияния факторов внешней среды и наследственности, определяет рост алиментарно-зависимых заболеваний и болезней органов пищеварения (БОП) </w:t>
      </w:r>
      <w:r w:rsidR="00587498" w:rsidRPr="000A635E">
        <w:rPr>
          <w:rFonts w:eastAsiaTheme="minorEastAsia"/>
          <w:sz w:val="24"/>
          <w:szCs w:val="24"/>
        </w:rPr>
        <w:t>среди населения</w:t>
      </w:r>
      <w:r w:rsidRPr="000A635E">
        <w:rPr>
          <w:rFonts w:eastAsiaTheme="minorEastAsia"/>
          <w:sz w:val="24"/>
          <w:szCs w:val="24"/>
        </w:rPr>
        <w:t xml:space="preserve"> города. </w:t>
      </w:r>
    </w:p>
    <w:p w:rsidR="00BE1110" w:rsidRPr="000A635E" w:rsidRDefault="00BE1110" w:rsidP="00C036E9">
      <w:pPr>
        <w:autoSpaceDE w:val="0"/>
        <w:autoSpaceDN w:val="0"/>
        <w:ind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В связи со снижением потребления населением полноценных животных белков, </w:t>
      </w:r>
      <w:r w:rsidR="000518C5" w:rsidRPr="000A635E">
        <w:rPr>
          <w:rFonts w:eastAsiaTheme="minorEastAsia"/>
          <w:sz w:val="24"/>
          <w:szCs w:val="24"/>
        </w:rPr>
        <w:t>а, следовательно,</w:t>
      </w:r>
      <w:r w:rsidRPr="000A635E">
        <w:rPr>
          <w:rFonts w:eastAsiaTheme="minorEastAsia"/>
          <w:sz w:val="24"/>
          <w:szCs w:val="24"/>
        </w:rPr>
        <w:t xml:space="preserve"> и незаменимых аминокислот, избыточное потребление углеводов, в том числе сахара и други</w:t>
      </w:r>
      <w:r w:rsidR="00C65197" w:rsidRPr="000A635E">
        <w:rPr>
          <w:rFonts w:eastAsiaTheme="minorEastAsia"/>
          <w:sz w:val="24"/>
          <w:szCs w:val="24"/>
        </w:rPr>
        <w:t>е</w:t>
      </w:r>
      <w:r w:rsidRPr="000A635E">
        <w:rPr>
          <w:rFonts w:eastAsiaTheme="minorEastAsia"/>
          <w:sz w:val="24"/>
          <w:szCs w:val="24"/>
        </w:rPr>
        <w:t xml:space="preserve"> погрешности питания, отмечается неуклонный рост числа алиментарно-зависимых заболеваний и болезней органов пищеварения среди населения города. В 20</w:t>
      </w:r>
      <w:r w:rsidR="00E91129">
        <w:rPr>
          <w:rFonts w:eastAsiaTheme="minorEastAsia"/>
          <w:sz w:val="24"/>
          <w:szCs w:val="24"/>
        </w:rPr>
        <w:t>20</w:t>
      </w:r>
      <w:r w:rsidR="00C07318">
        <w:rPr>
          <w:rFonts w:eastAsiaTheme="minorEastAsia"/>
          <w:sz w:val="24"/>
          <w:szCs w:val="24"/>
        </w:rPr>
        <w:t xml:space="preserve"> </w:t>
      </w:r>
      <w:r w:rsidRPr="000A635E">
        <w:rPr>
          <w:rFonts w:eastAsiaTheme="minorEastAsia"/>
          <w:sz w:val="24"/>
          <w:szCs w:val="24"/>
        </w:rPr>
        <w:t>году,</w:t>
      </w:r>
      <w:r w:rsidR="00C07318">
        <w:rPr>
          <w:rFonts w:eastAsiaTheme="minorEastAsia"/>
          <w:sz w:val="24"/>
          <w:szCs w:val="24"/>
        </w:rPr>
        <w:t xml:space="preserve"> </w:t>
      </w:r>
      <w:r w:rsidRPr="000A635E">
        <w:rPr>
          <w:rFonts w:eastAsiaTheme="minorEastAsia"/>
          <w:sz w:val="24"/>
          <w:szCs w:val="24"/>
        </w:rPr>
        <w:t>как и в 201</w:t>
      </w:r>
      <w:r w:rsidR="00E91129">
        <w:rPr>
          <w:rFonts w:eastAsiaTheme="minorEastAsia"/>
          <w:sz w:val="24"/>
          <w:szCs w:val="24"/>
        </w:rPr>
        <w:t>9</w:t>
      </w:r>
      <w:r w:rsidRPr="000A635E">
        <w:rPr>
          <w:rFonts w:eastAsiaTheme="minorEastAsia"/>
          <w:sz w:val="24"/>
          <w:szCs w:val="24"/>
        </w:rPr>
        <w:t>, показатель заболеваемости по классу болезни эндокринной системы, нарушения питания и нарушения обмена веществ остается высоким</w:t>
      </w:r>
      <w:r w:rsidR="00C65197" w:rsidRPr="000A635E">
        <w:rPr>
          <w:rFonts w:eastAsiaTheme="minorEastAsia"/>
          <w:sz w:val="24"/>
          <w:szCs w:val="24"/>
        </w:rPr>
        <w:t>.</w:t>
      </w:r>
    </w:p>
    <w:p w:rsidR="00BE1110" w:rsidRPr="00097BEB" w:rsidRDefault="00BE1110" w:rsidP="00C036E9">
      <w:pPr>
        <w:tabs>
          <w:tab w:val="left" w:pos="8364"/>
        </w:tabs>
        <w:autoSpaceDE w:val="0"/>
        <w:autoSpaceDN w:val="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>На протяжении всего наблюдаемого периода ведущее место у взрослых принадлежит сахарному диабету</w:t>
      </w:r>
      <w:r w:rsidR="00C07318">
        <w:rPr>
          <w:rFonts w:eastAsiaTheme="minorEastAsia"/>
          <w:sz w:val="24"/>
          <w:szCs w:val="24"/>
        </w:rPr>
        <w:t xml:space="preserve"> 2 типа</w:t>
      </w:r>
      <w:r w:rsidRPr="000A635E">
        <w:rPr>
          <w:rFonts w:eastAsiaTheme="minorEastAsia"/>
          <w:sz w:val="24"/>
          <w:szCs w:val="24"/>
        </w:rPr>
        <w:t xml:space="preserve">, показатель заболеваемости </w:t>
      </w:r>
      <w:r w:rsidR="00587498" w:rsidRPr="000A635E">
        <w:rPr>
          <w:rFonts w:eastAsiaTheme="minorEastAsia"/>
          <w:sz w:val="24"/>
          <w:szCs w:val="24"/>
        </w:rPr>
        <w:t>которым имеет</w:t>
      </w:r>
      <w:r w:rsidRPr="000A635E">
        <w:rPr>
          <w:rFonts w:eastAsiaTheme="minorEastAsia"/>
          <w:sz w:val="24"/>
          <w:szCs w:val="24"/>
        </w:rPr>
        <w:t xml:space="preserve"> тенденцию к прогрессированию.</w:t>
      </w:r>
    </w:p>
    <w:p w:rsidR="00BE1110" w:rsidRPr="00097BEB" w:rsidRDefault="00BE1110" w:rsidP="00C036E9">
      <w:pPr>
        <w:ind w:firstLineChars="709" w:firstLine="156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sectPr w:rsidR="00BE1110" w:rsidRPr="00097BEB" w:rsidSect="00300CD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567" w:right="850" w:bottom="567" w:left="1701" w:header="964" w:footer="964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AA1" w:rsidRDefault="00264AA1" w:rsidP="00AE43F0">
      <w:r>
        <w:separator/>
      </w:r>
    </w:p>
  </w:endnote>
  <w:endnote w:type="continuationSeparator" w:id="0">
    <w:p w:rsidR="00264AA1" w:rsidRDefault="00264AA1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832" w:rsidRDefault="00C0483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34465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00CD6" w:rsidRDefault="00300C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:rsidR="00C04832" w:rsidRDefault="00C0483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832" w:rsidRDefault="00C048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AA1" w:rsidRDefault="00264AA1" w:rsidP="00AE43F0">
      <w:r>
        <w:separator/>
      </w:r>
    </w:p>
  </w:footnote>
  <w:footnote w:type="continuationSeparator" w:id="0">
    <w:p w:rsidR="00264AA1" w:rsidRDefault="00264AA1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832" w:rsidRDefault="00C0483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832" w:rsidRDefault="00C0483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832" w:rsidRDefault="00C048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1B3"/>
    <w:multiLevelType w:val="multilevel"/>
    <w:tmpl w:val="D618D0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FE5EA8"/>
    <w:multiLevelType w:val="multilevel"/>
    <w:tmpl w:val="1A8E07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C743F16"/>
    <w:multiLevelType w:val="hybridMultilevel"/>
    <w:tmpl w:val="64D0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061FC6"/>
    <w:multiLevelType w:val="hybridMultilevel"/>
    <w:tmpl w:val="B33C7A2A"/>
    <w:lvl w:ilvl="0" w:tplc="EFC053C8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E77BC9"/>
    <w:multiLevelType w:val="hybridMultilevel"/>
    <w:tmpl w:val="46127C1A"/>
    <w:lvl w:ilvl="0" w:tplc="CC045E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2975027"/>
    <w:multiLevelType w:val="hybridMultilevel"/>
    <w:tmpl w:val="B026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F9F3108"/>
    <w:multiLevelType w:val="hybridMultilevel"/>
    <w:tmpl w:val="7B725D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67AF7129"/>
    <w:multiLevelType w:val="hybridMultilevel"/>
    <w:tmpl w:val="1ACEAC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C147B28"/>
    <w:multiLevelType w:val="hybridMultilevel"/>
    <w:tmpl w:val="111EF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FE0901"/>
    <w:multiLevelType w:val="hybridMultilevel"/>
    <w:tmpl w:val="08AC2830"/>
    <w:lvl w:ilvl="0" w:tplc="2CA2CB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A62C8D"/>
    <w:multiLevelType w:val="hybridMultilevel"/>
    <w:tmpl w:val="BC86D364"/>
    <w:lvl w:ilvl="0" w:tplc="86E0C22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2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C750EA"/>
    <w:multiLevelType w:val="hybridMultilevel"/>
    <w:tmpl w:val="C63EE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4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7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6"/>
  </w:num>
  <w:num w:numId="13">
    <w:abstractNumId w:val="0"/>
  </w:num>
  <w:num w:numId="14">
    <w:abstractNumId w:val="1"/>
  </w:num>
  <w:num w:numId="15">
    <w:abstractNumId w:val="23"/>
  </w:num>
  <w:num w:numId="16">
    <w:abstractNumId w:val="8"/>
  </w:num>
  <w:num w:numId="17">
    <w:abstractNumId w:val="28"/>
  </w:num>
  <w:num w:numId="18">
    <w:abstractNumId w:val="10"/>
  </w:num>
  <w:num w:numId="19">
    <w:abstractNumId w:val="13"/>
  </w:num>
  <w:num w:numId="20">
    <w:abstractNumId w:val="34"/>
  </w:num>
  <w:num w:numId="21">
    <w:abstractNumId w:val="25"/>
  </w:num>
  <w:num w:numId="22">
    <w:abstractNumId w:val="21"/>
  </w:num>
  <w:num w:numId="23">
    <w:abstractNumId w:val="1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6"/>
  </w:num>
  <w:num w:numId="27">
    <w:abstractNumId w:val="18"/>
  </w:num>
  <w:num w:numId="28">
    <w:abstractNumId w:val="32"/>
  </w:num>
  <w:num w:numId="29">
    <w:abstractNumId w:val="16"/>
  </w:num>
  <w:num w:numId="30">
    <w:abstractNumId w:val="5"/>
  </w:num>
  <w:num w:numId="31">
    <w:abstractNumId w:val="19"/>
  </w:num>
  <w:num w:numId="32">
    <w:abstractNumId w:val="35"/>
  </w:num>
  <w:num w:numId="33">
    <w:abstractNumId w:val="12"/>
  </w:num>
  <w:num w:numId="34">
    <w:abstractNumId w:val="17"/>
  </w:num>
  <w:num w:numId="35">
    <w:abstractNumId w:val="9"/>
  </w:num>
  <w:num w:numId="36">
    <w:abstractNumId w:val="3"/>
  </w:num>
  <w:num w:numId="37">
    <w:abstractNumId w:val="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FAE"/>
    <w:rsid w:val="00001027"/>
    <w:rsid w:val="00005A2A"/>
    <w:rsid w:val="00013BEB"/>
    <w:rsid w:val="0001682D"/>
    <w:rsid w:val="00020196"/>
    <w:rsid w:val="00050967"/>
    <w:rsid w:val="00051642"/>
    <w:rsid w:val="000518C5"/>
    <w:rsid w:val="000543A1"/>
    <w:rsid w:val="0006002F"/>
    <w:rsid w:val="000622D0"/>
    <w:rsid w:val="00065C6D"/>
    <w:rsid w:val="00070437"/>
    <w:rsid w:val="000722C5"/>
    <w:rsid w:val="000817FE"/>
    <w:rsid w:val="00083132"/>
    <w:rsid w:val="000855D8"/>
    <w:rsid w:val="00094B77"/>
    <w:rsid w:val="00097BEB"/>
    <w:rsid w:val="000A635E"/>
    <w:rsid w:val="000B51B0"/>
    <w:rsid w:val="000B5FBC"/>
    <w:rsid w:val="000B6099"/>
    <w:rsid w:val="000C5F56"/>
    <w:rsid w:val="000D298D"/>
    <w:rsid w:val="000D5A5D"/>
    <w:rsid w:val="000E45F0"/>
    <w:rsid w:val="000E5849"/>
    <w:rsid w:val="000F12AF"/>
    <w:rsid w:val="000F5878"/>
    <w:rsid w:val="00100991"/>
    <w:rsid w:val="00106301"/>
    <w:rsid w:val="00111386"/>
    <w:rsid w:val="00115082"/>
    <w:rsid w:val="00116523"/>
    <w:rsid w:val="0012285B"/>
    <w:rsid w:val="00133983"/>
    <w:rsid w:val="0013418A"/>
    <w:rsid w:val="00137EC1"/>
    <w:rsid w:val="00142AAE"/>
    <w:rsid w:val="001600D6"/>
    <w:rsid w:val="00161067"/>
    <w:rsid w:val="00165166"/>
    <w:rsid w:val="0016636D"/>
    <w:rsid w:val="00166E4A"/>
    <w:rsid w:val="00172D68"/>
    <w:rsid w:val="001732F6"/>
    <w:rsid w:val="0017704C"/>
    <w:rsid w:val="00183C3B"/>
    <w:rsid w:val="00192172"/>
    <w:rsid w:val="001A56EF"/>
    <w:rsid w:val="001C036D"/>
    <w:rsid w:val="001D2069"/>
    <w:rsid w:val="001D5BDA"/>
    <w:rsid w:val="001E292D"/>
    <w:rsid w:val="001E4562"/>
    <w:rsid w:val="001E5DD0"/>
    <w:rsid w:val="001F52B9"/>
    <w:rsid w:val="0020586B"/>
    <w:rsid w:val="0020755A"/>
    <w:rsid w:val="00215D5A"/>
    <w:rsid w:val="00220021"/>
    <w:rsid w:val="00220CE1"/>
    <w:rsid w:val="0022157B"/>
    <w:rsid w:val="00223BEF"/>
    <w:rsid w:val="0022753D"/>
    <w:rsid w:val="00230739"/>
    <w:rsid w:val="002338DF"/>
    <w:rsid w:val="002477E1"/>
    <w:rsid w:val="00250FA7"/>
    <w:rsid w:val="00252534"/>
    <w:rsid w:val="00264AA1"/>
    <w:rsid w:val="002668B6"/>
    <w:rsid w:val="0026723C"/>
    <w:rsid w:val="00281B2A"/>
    <w:rsid w:val="002823CE"/>
    <w:rsid w:val="00283DF1"/>
    <w:rsid w:val="00284119"/>
    <w:rsid w:val="002A0CD2"/>
    <w:rsid w:val="002A44E7"/>
    <w:rsid w:val="002C2F22"/>
    <w:rsid w:val="002C4993"/>
    <w:rsid w:val="002C49C9"/>
    <w:rsid w:val="002C5078"/>
    <w:rsid w:val="002D624D"/>
    <w:rsid w:val="002F20DE"/>
    <w:rsid w:val="00300CD6"/>
    <w:rsid w:val="00302B9F"/>
    <w:rsid w:val="003130BB"/>
    <w:rsid w:val="00323494"/>
    <w:rsid w:val="003244E5"/>
    <w:rsid w:val="00330E8E"/>
    <w:rsid w:val="00340986"/>
    <w:rsid w:val="0036576E"/>
    <w:rsid w:val="00365990"/>
    <w:rsid w:val="0038615F"/>
    <w:rsid w:val="00393083"/>
    <w:rsid w:val="00395BD9"/>
    <w:rsid w:val="00397F7B"/>
    <w:rsid w:val="003B6C5A"/>
    <w:rsid w:val="003C07AF"/>
    <w:rsid w:val="003C35DD"/>
    <w:rsid w:val="003D11D6"/>
    <w:rsid w:val="003D6C5A"/>
    <w:rsid w:val="003E7EA5"/>
    <w:rsid w:val="003F43D7"/>
    <w:rsid w:val="004025EF"/>
    <w:rsid w:val="0040360C"/>
    <w:rsid w:val="00404BE9"/>
    <w:rsid w:val="0041171A"/>
    <w:rsid w:val="00425E72"/>
    <w:rsid w:val="004432A9"/>
    <w:rsid w:val="00446531"/>
    <w:rsid w:val="00447E0A"/>
    <w:rsid w:val="00447F3F"/>
    <w:rsid w:val="004570EE"/>
    <w:rsid w:val="00461EC4"/>
    <w:rsid w:val="00465E54"/>
    <w:rsid w:val="004732CF"/>
    <w:rsid w:val="00475FF0"/>
    <w:rsid w:val="0048301D"/>
    <w:rsid w:val="004836C0"/>
    <w:rsid w:val="00487C61"/>
    <w:rsid w:val="00492707"/>
    <w:rsid w:val="004B6EEC"/>
    <w:rsid w:val="004E31C7"/>
    <w:rsid w:val="004E6C6D"/>
    <w:rsid w:val="004F3655"/>
    <w:rsid w:val="0050282B"/>
    <w:rsid w:val="0050786E"/>
    <w:rsid w:val="00507F79"/>
    <w:rsid w:val="005127E9"/>
    <w:rsid w:val="00515D83"/>
    <w:rsid w:val="00533FEC"/>
    <w:rsid w:val="0053540F"/>
    <w:rsid w:val="00550729"/>
    <w:rsid w:val="00570C00"/>
    <w:rsid w:val="00571833"/>
    <w:rsid w:val="005729C2"/>
    <w:rsid w:val="0058028A"/>
    <w:rsid w:val="00587498"/>
    <w:rsid w:val="005B27CD"/>
    <w:rsid w:val="005B3D48"/>
    <w:rsid w:val="005B534F"/>
    <w:rsid w:val="005B5479"/>
    <w:rsid w:val="005B719C"/>
    <w:rsid w:val="005B7616"/>
    <w:rsid w:val="005C0A8D"/>
    <w:rsid w:val="005C3518"/>
    <w:rsid w:val="005C3CB4"/>
    <w:rsid w:val="005C42A9"/>
    <w:rsid w:val="005D560E"/>
    <w:rsid w:val="005D611A"/>
    <w:rsid w:val="005F1307"/>
    <w:rsid w:val="005F25E6"/>
    <w:rsid w:val="005F5E15"/>
    <w:rsid w:val="006006FC"/>
    <w:rsid w:val="00606183"/>
    <w:rsid w:val="00606FB1"/>
    <w:rsid w:val="00613F59"/>
    <w:rsid w:val="00613FEC"/>
    <w:rsid w:val="00625E13"/>
    <w:rsid w:val="006422CE"/>
    <w:rsid w:val="00645015"/>
    <w:rsid w:val="006517A9"/>
    <w:rsid w:val="00657FA8"/>
    <w:rsid w:val="00660724"/>
    <w:rsid w:val="006623F6"/>
    <w:rsid w:val="00663F99"/>
    <w:rsid w:val="0067346C"/>
    <w:rsid w:val="00676EAA"/>
    <w:rsid w:val="00681502"/>
    <w:rsid w:val="006902B9"/>
    <w:rsid w:val="006A4C69"/>
    <w:rsid w:val="006A5464"/>
    <w:rsid w:val="006A6D6F"/>
    <w:rsid w:val="006A73D9"/>
    <w:rsid w:val="006A7FCD"/>
    <w:rsid w:val="006B5ED2"/>
    <w:rsid w:val="006B6948"/>
    <w:rsid w:val="006C19F5"/>
    <w:rsid w:val="006C31F5"/>
    <w:rsid w:val="006C4FDC"/>
    <w:rsid w:val="006D387F"/>
    <w:rsid w:val="006D5034"/>
    <w:rsid w:val="006E4561"/>
    <w:rsid w:val="006E56BD"/>
    <w:rsid w:val="00720B52"/>
    <w:rsid w:val="0072133E"/>
    <w:rsid w:val="00726311"/>
    <w:rsid w:val="007324A8"/>
    <w:rsid w:val="00754DDD"/>
    <w:rsid w:val="00763FCE"/>
    <w:rsid w:val="0077596B"/>
    <w:rsid w:val="00781CBB"/>
    <w:rsid w:val="00791047"/>
    <w:rsid w:val="00791913"/>
    <w:rsid w:val="00791B0D"/>
    <w:rsid w:val="00792D79"/>
    <w:rsid w:val="007960A9"/>
    <w:rsid w:val="007A18EE"/>
    <w:rsid w:val="007A304E"/>
    <w:rsid w:val="007A33B9"/>
    <w:rsid w:val="007A4279"/>
    <w:rsid w:val="007A4EE1"/>
    <w:rsid w:val="007B31DC"/>
    <w:rsid w:val="007B7FAE"/>
    <w:rsid w:val="007D32A3"/>
    <w:rsid w:val="007D66BB"/>
    <w:rsid w:val="007D79A3"/>
    <w:rsid w:val="007E1073"/>
    <w:rsid w:val="007E39B6"/>
    <w:rsid w:val="007E6E29"/>
    <w:rsid w:val="007F6AE0"/>
    <w:rsid w:val="008037CE"/>
    <w:rsid w:val="00803F18"/>
    <w:rsid w:val="00806885"/>
    <w:rsid w:val="00807300"/>
    <w:rsid w:val="00815BAF"/>
    <w:rsid w:val="0082235C"/>
    <w:rsid w:val="00826F90"/>
    <w:rsid w:val="00831465"/>
    <w:rsid w:val="00837461"/>
    <w:rsid w:val="008430D6"/>
    <w:rsid w:val="008610B9"/>
    <w:rsid w:val="00870385"/>
    <w:rsid w:val="00871089"/>
    <w:rsid w:val="00872C7E"/>
    <w:rsid w:val="008778A0"/>
    <w:rsid w:val="0088392F"/>
    <w:rsid w:val="00885ACD"/>
    <w:rsid w:val="00886F0B"/>
    <w:rsid w:val="00895B0B"/>
    <w:rsid w:val="008A671D"/>
    <w:rsid w:val="008C3D77"/>
    <w:rsid w:val="008C4976"/>
    <w:rsid w:val="008C7314"/>
    <w:rsid w:val="008D4D7F"/>
    <w:rsid w:val="008D78DB"/>
    <w:rsid w:val="008E3723"/>
    <w:rsid w:val="008F223B"/>
    <w:rsid w:val="00900CE2"/>
    <w:rsid w:val="00904FB8"/>
    <w:rsid w:val="009124E0"/>
    <w:rsid w:val="00913175"/>
    <w:rsid w:val="0091546A"/>
    <w:rsid w:val="0092037E"/>
    <w:rsid w:val="009230EC"/>
    <w:rsid w:val="009242EA"/>
    <w:rsid w:val="00927130"/>
    <w:rsid w:val="00927E91"/>
    <w:rsid w:val="00930AE0"/>
    <w:rsid w:val="00931A22"/>
    <w:rsid w:val="00941AC3"/>
    <w:rsid w:val="00944D91"/>
    <w:rsid w:val="0094726B"/>
    <w:rsid w:val="0095226E"/>
    <w:rsid w:val="00960361"/>
    <w:rsid w:val="00972A8E"/>
    <w:rsid w:val="00976FC0"/>
    <w:rsid w:val="00981941"/>
    <w:rsid w:val="009A3620"/>
    <w:rsid w:val="009A4608"/>
    <w:rsid w:val="009A5464"/>
    <w:rsid w:val="009B403E"/>
    <w:rsid w:val="009B5E01"/>
    <w:rsid w:val="009B612B"/>
    <w:rsid w:val="009B673A"/>
    <w:rsid w:val="009B79E4"/>
    <w:rsid w:val="009B7BFC"/>
    <w:rsid w:val="009C591C"/>
    <w:rsid w:val="009D1536"/>
    <w:rsid w:val="009D27C1"/>
    <w:rsid w:val="009E5652"/>
    <w:rsid w:val="009F0277"/>
    <w:rsid w:val="009F363E"/>
    <w:rsid w:val="00A013D3"/>
    <w:rsid w:val="00A055F0"/>
    <w:rsid w:val="00A069AB"/>
    <w:rsid w:val="00A07CFB"/>
    <w:rsid w:val="00A10BDB"/>
    <w:rsid w:val="00A140EC"/>
    <w:rsid w:val="00A21791"/>
    <w:rsid w:val="00A22A96"/>
    <w:rsid w:val="00A2760D"/>
    <w:rsid w:val="00A278A3"/>
    <w:rsid w:val="00A3299F"/>
    <w:rsid w:val="00A4200E"/>
    <w:rsid w:val="00A43E3C"/>
    <w:rsid w:val="00A517BE"/>
    <w:rsid w:val="00A56929"/>
    <w:rsid w:val="00A60F8D"/>
    <w:rsid w:val="00A725C1"/>
    <w:rsid w:val="00A770AC"/>
    <w:rsid w:val="00A84094"/>
    <w:rsid w:val="00A85034"/>
    <w:rsid w:val="00A92889"/>
    <w:rsid w:val="00A93648"/>
    <w:rsid w:val="00AA5527"/>
    <w:rsid w:val="00AA63A3"/>
    <w:rsid w:val="00AB2626"/>
    <w:rsid w:val="00AB28CF"/>
    <w:rsid w:val="00AB7212"/>
    <w:rsid w:val="00AC52B6"/>
    <w:rsid w:val="00AC583D"/>
    <w:rsid w:val="00AC7DEB"/>
    <w:rsid w:val="00AD03DC"/>
    <w:rsid w:val="00AE32F4"/>
    <w:rsid w:val="00AE36CD"/>
    <w:rsid w:val="00AE43F0"/>
    <w:rsid w:val="00AE4932"/>
    <w:rsid w:val="00AF5AA9"/>
    <w:rsid w:val="00B00A82"/>
    <w:rsid w:val="00B02924"/>
    <w:rsid w:val="00B05D84"/>
    <w:rsid w:val="00B062F7"/>
    <w:rsid w:val="00B07FBA"/>
    <w:rsid w:val="00B249CB"/>
    <w:rsid w:val="00B3075D"/>
    <w:rsid w:val="00B43F48"/>
    <w:rsid w:val="00B4598D"/>
    <w:rsid w:val="00B476CE"/>
    <w:rsid w:val="00B52BBA"/>
    <w:rsid w:val="00B56962"/>
    <w:rsid w:val="00B60BA6"/>
    <w:rsid w:val="00B675C7"/>
    <w:rsid w:val="00B67661"/>
    <w:rsid w:val="00B77550"/>
    <w:rsid w:val="00B823BC"/>
    <w:rsid w:val="00B84928"/>
    <w:rsid w:val="00BC1BF1"/>
    <w:rsid w:val="00BC1D4A"/>
    <w:rsid w:val="00BC4B2F"/>
    <w:rsid w:val="00BC4F0C"/>
    <w:rsid w:val="00BC53D3"/>
    <w:rsid w:val="00BD635D"/>
    <w:rsid w:val="00BE1110"/>
    <w:rsid w:val="00BE7B19"/>
    <w:rsid w:val="00BF374B"/>
    <w:rsid w:val="00BF4558"/>
    <w:rsid w:val="00C00CED"/>
    <w:rsid w:val="00C036E9"/>
    <w:rsid w:val="00C04832"/>
    <w:rsid w:val="00C07318"/>
    <w:rsid w:val="00C166BE"/>
    <w:rsid w:val="00C21DC4"/>
    <w:rsid w:val="00C4391C"/>
    <w:rsid w:val="00C44409"/>
    <w:rsid w:val="00C4578B"/>
    <w:rsid w:val="00C46182"/>
    <w:rsid w:val="00C54C32"/>
    <w:rsid w:val="00C564CB"/>
    <w:rsid w:val="00C65197"/>
    <w:rsid w:val="00C67362"/>
    <w:rsid w:val="00C75BFB"/>
    <w:rsid w:val="00C84953"/>
    <w:rsid w:val="00C87E8C"/>
    <w:rsid w:val="00C90965"/>
    <w:rsid w:val="00C92752"/>
    <w:rsid w:val="00CA4B9D"/>
    <w:rsid w:val="00CA6C48"/>
    <w:rsid w:val="00CA7F14"/>
    <w:rsid w:val="00CB2491"/>
    <w:rsid w:val="00CC5491"/>
    <w:rsid w:val="00CC773F"/>
    <w:rsid w:val="00CE181D"/>
    <w:rsid w:val="00CE5F69"/>
    <w:rsid w:val="00CE670F"/>
    <w:rsid w:val="00CE7792"/>
    <w:rsid w:val="00CF1045"/>
    <w:rsid w:val="00CF2067"/>
    <w:rsid w:val="00CF3C52"/>
    <w:rsid w:val="00CF4914"/>
    <w:rsid w:val="00CF5F77"/>
    <w:rsid w:val="00CF7780"/>
    <w:rsid w:val="00CF7996"/>
    <w:rsid w:val="00D046ED"/>
    <w:rsid w:val="00D13139"/>
    <w:rsid w:val="00D273E2"/>
    <w:rsid w:val="00D320B5"/>
    <w:rsid w:val="00D33FCC"/>
    <w:rsid w:val="00D3445F"/>
    <w:rsid w:val="00D440A2"/>
    <w:rsid w:val="00D47B7E"/>
    <w:rsid w:val="00D5500F"/>
    <w:rsid w:val="00D60BF2"/>
    <w:rsid w:val="00D61E70"/>
    <w:rsid w:val="00D62A3B"/>
    <w:rsid w:val="00D70542"/>
    <w:rsid w:val="00D72255"/>
    <w:rsid w:val="00D762A6"/>
    <w:rsid w:val="00D8208B"/>
    <w:rsid w:val="00D93F36"/>
    <w:rsid w:val="00DA2C64"/>
    <w:rsid w:val="00DB6B93"/>
    <w:rsid w:val="00DB7467"/>
    <w:rsid w:val="00DC1988"/>
    <w:rsid w:val="00DD3D4A"/>
    <w:rsid w:val="00DE033F"/>
    <w:rsid w:val="00DF2D55"/>
    <w:rsid w:val="00DF2FA7"/>
    <w:rsid w:val="00DF7E59"/>
    <w:rsid w:val="00E02D59"/>
    <w:rsid w:val="00E15C7C"/>
    <w:rsid w:val="00E24490"/>
    <w:rsid w:val="00E42A1D"/>
    <w:rsid w:val="00E4600C"/>
    <w:rsid w:val="00E51494"/>
    <w:rsid w:val="00E5771B"/>
    <w:rsid w:val="00E63CB2"/>
    <w:rsid w:val="00E705BC"/>
    <w:rsid w:val="00E73B33"/>
    <w:rsid w:val="00E742A8"/>
    <w:rsid w:val="00E805CC"/>
    <w:rsid w:val="00E810E7"/>
    <w:rsid w:val="00E91129"/>
    <w:rsid w:val="00E91796"/>
    <w:rsid w:val="00E93EFF"/>
    <w:rsid w:val="00E9628E"/>
    <w:rsid w:val="00EB0255"/>
    <w:rsid w:val="00EB6A49"/>
    <w:rsid w:val="00EC6AAC"/>
    <w:rsid w:val="00ED0ECB"/>
    <w:rsid w:val="00ED7164"/>
    <w:rsid w:val="00EF3BA7"/>
    <w:rsid w:val="00EF59FF"/>
    <w:rsid w:val="00F04AFD"/>
    <w:rsid w:val="00F14F35"/>
    <w:rsid w:val="00F40709"/>
    <w:rsid w:val="00F54D3C"/>
    <w:rsid w:val="00F5612C"/>
    <w:rsid w:val="00F60251"/>
    <w:rsid w:val="00F634FF"/>
    <w:rsid w:val="00F639B8"/>
    <w:rsid w:val="00F667C0"/>
    <w:rsid w:val="00F720BA"/>
    <w:rsid w:val="00F74361"/>
    <w:rsid w:val="00F8205F"/>
    <w:rsid w:val="00F92FEB"/>
    <w:rsid w:val="00F94089"/>
    <w:rsid w:val="00FA1E0E"/>
    <w:rsid w:val="00FA3712"/>
    <w:rsid w:val="00FB05BD"/>
    <w:rsid w:val="00FB1F3B"/>
    <w:rsid w:val="00FB3520"/>
    <w:rsid w:val="00FC5ECB"/>
    <w:rsid w:val="00FD45A0"/>
    <w:rsid w:val="00FD5D92"/>
    <w:rsid w:val="00FE2DBB"/>
    <w:rsid w:val="00FE32FA"/>
    <w:rsid w:val="00FE6D3F"/>
    <w:rsid w:val="00FF0645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7">
    <w:name w:val="page number"/>
    <w:basedOn w:val="a0"/>
    <w:rsid w:val="0053540F"/>
  </w:style>
  <w:style w:type="paragraph" w:customStyle="1" w:styleId="af8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a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sid w:val="0053540F"/>
    <w:rPr>
      <w:i/>
      <w:iCs/>
    </w:rPr>
  </w:style>
  <w:style w:type="paragraph" w:styleId="afc">
    <w:name w:val="Normal (Web)"/>
    <w:basedOn w:val="a"/>
    <w:semiHidden/>
    <w:unhideWhenUsed/>
    <w:rsid w:val="00DB6B9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40;&#1053;&#1071;\Desktop\&#1071;&#1082;&#1091;&#1073;&#1077;&#1085;&#1082;&#1086;%20&#1055;&#1054;&#1057;&#1051;&#1045;%20&#1048;&#1057;&#1055;&#1056;&#1040;&#1042;&#1051;&#1045;&#1053;&#1048;&#1049;%20&#1043;&#1054;&#1057;&#1044;&#1086;&#1082;&#1083;&#1072;&#1076;%20&#1057;&#1043;&#1052;%202020%20!!!!\&#1043;&#1086;&#1088;&#1086;&#1076;\&#1079;&#1072;&#1073;&#1086;&#1083;&#1077;&#1074;&#1072;&#1077;&#1084;&#1086;&#1089;&#1090;&#1100;%20&#1075;&#1086;&#1088;&#1086;&#1076;%2020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40;&#1053;&#1071;\Desktop\&#1071;&#1082;&#1091;&#1073;&#1077;&#1085;&#1082;&#1086;%20&#1055;&#1054;&#1057;&#1051;&#1045;%20&#1048;&#1057;&#1055;&#1056;&#1040;&#1042;&#1051;&#1045;&#1053;&#1048;&#1049;%20&#1043;&#1054;&#1057;&#1044;&#1086;&#1082;&#1083;&#1072;&#1076;%20&#1057;&#1043;&#1052;%202020%20!!!!\&#1043;&#1086;&#1088;&#1086;&#1076;\&#1079;&#1072;&#1073;&#1086;&#1083;&#1077;&#1074;&#1072;&#1077;&#1084;&#1086;&#1089;&#1090;&#1100;%20&#1075;&#1086;&#1088;&#1086;&#1076;%202020%20&#1092;&#1086;&#1088;&#1084;&#1091;&#1083;&#1099;%20&#1089;%20&#1088;&#1072;&#1081;&#1086;&#1085;&#1072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40;&#1053;&#1071;\Desktop\&#1071;&#1082;&#1091;&#1073;&#1077;&#1085;&#1082;&#1086;%20&#1055;&#1054;&#1057;&#1051;&#1045;%20&#1048;&#1057;&#1055;&#1056;&#1040;&#1042;&#1051;&#1045;&#1053;&#1048;&#1049;%20&#1043;&#1054;&#1057;&#1044;&#1086;&#1082;&#1083;&#1072;&#1076;%20&#1057;&#1043;&#1052;%202020%20!!!!\&#1043;&#1086;&#1088;&#1086;&#1076;\&#1079;&#1072;&#1073;&#1086;&#1083;&#1077;&#1074;&#1072;&#1077;&#1084;&#1086;&#1089;&#1090;&#1100;%20&#1075;&#1086;&#1088;&#1086;&#1076;%202020%20&#1092;&#1086;&#1088;&#1084;&#1091;&#1083;&#1099;%20&#1089;%20&#1088;&#1072;&#1081;&#1086;&#1085;&#1072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40;&#1053;&#1071;\Desktop\&#1071;&#1082;&#1091;&#1073;&#1077;&#1085;&#1082;&#1086;%20&#1055;&#1054;&#1057;&#1051;&#1045;%20&#1048;&#1057;&#1055;&#1056;&#1040;&#1042;&#1051;&#1045;&#1053;&#1048;&#1049;%20&#1043;&#1054;&#1057;&#1044;&#1086;&#1082;&#1083;&#1072;&#1076;%20&#1057;&#1043;&#1052;%202020%20!!!!\&#1043;&#1086;&#1088;&#1086;&#1076;\&#1079;&#1072;&#1073;&#1086;&#1083;&#1077;&#1074;&#1072;&#1077;&#1084;&#1086;&#1089;&#1090;&#1100;%20&#1075;&#1086;&#1088;&#1086;&#1076;%202020%20&#1092;&#1086;&#1088;&#1084;&#1091;&#1083;&#1099;%20&#1089;%20&#1088;&#1072;&#1081;&#1086;&#1085;&#1072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40;&#1053;&#1071;\Desktop\&#1071;&#1082;&#1091;&#1073;&#1077;&#1085;&#1082;&#1086;%20&#1055;&#1054;&#1057;&#1051;&#1045;%20&#1048;&#1057;&#1055;&#1056;&#1040;&#1042;&#1051;&#1045;&#1053;&#1048;&#1049;%20&#1043;&#1054;&#1057;&#1044;&#1086;&#1082;&#1083;&#1072;&#1076;%20&#1057;&#1043;&#1052;%202020%20!!!!\&#1043;&#1086;&#1088;&#1086;&#1076;\&#1079;&#1072;&#1073;&#1086;&#1083;&#1077;&#1074;&#1072;&#1077;&#1084;&#1086;&#1089;&#1090;&#1100;%20&#1075;&#1086;&#1088;&#1086;&#1076;%202020%20&#1092;&#1086;&#1088;&#1084;&#1091;&#1083;&#1099;%20&#1089;%20&#1088;&#1072;&#1081;&#1086;&#1085;&#1072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40;&#1053;&#1071;\Desktop\&#1071;&#1082;&#1091;&#1073;&#1077;&#1085;&#1082;&#1086;%20&#1055;&#1054;&#1057;&#1051;&#1045;%20&#1048;&#1057;&#1055;&#1056;&#1040;&#1042;&#1051;&#1045;&#1053;&#1048;&#1049;%20&#1043;&#1054;&#1057;&#1044;&#1086;&#1082;&#1083;&#1072;&#1076;%20&#1057;&#1043;&#1052;%202020%20!!!!\&#1043;&#1086;&#1088;&#1086;&#1076;\&#1079;&#1072;&#1073;&#1086;&#1083;&#1077;&#1074;&#1072;&#1077;&#1084;&#1086;&#1089;&#1090;&#1100;%20&#1075;&#1086;&#1088;&#1086;&#1076;%202020%20&#1092;&#1086;&#1088;&#1084;&#1091;&#1083;&#1099;%20&#1089;%20&#1088;&#1072;&#1081;&#1086;&#1085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 b="1" i="1" baseline="0">
                <a:effectLst/>
              </a:rPr>
              <a:t>Уровень общей заболеваемости по приоритетным направлениям в сравнении по годам (2018-2020) в г. Нефтеюганске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Лист2!$B$3</c:f>
              <c:strCache>
                <c:ptCount val="1"/>
                <c:pt idx="0">
                  <c:v>Болезни системы кровообращения</c:v>
                </c:pt>
              </c:strCache>
            </c:strRef>
          </c:tx>
          <c:spPr>
            <a:pattFill prst="lgCheck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Лист2!$C$2:$E$2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Лист2!$C$3:$E$3</c:f>
              <c:numCache>
                <c:formatCode>0.0</c:formatCode>
                <c:ptCount val="3"/>
                <c:pt idx="0">
                  <c:v>187.6</c:v>
                </c:pt>
                <c:pt idx="1">
                  <c:v>183.60442711834028</c:v>
                </c:pt>
                <c:pt idx="2">
                  <c:v>121.41241011653855</c:v>
                </c:pt>
              </c:numCache>
            </c:numRef>
          </c:val>
        </c:ser>
        <c:ser>
          <c:idx val="0"/>
          <c:order val="1"/>
          <c:tx>
            <c:strRef>
              <c:f>Лист2!$B$4</c:f>
              <c:strCache>
                <c:ptCount val="1"/>
                <c:pt idx="0">
                  <c:v>Болезни органов дыхания</c:v>
                </c:pt>
              </c:strCache>
            </c:strRef>
          </c:tx>
          <c:spPr>
            <a:pattFill prst="wave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Лист2!$C$2:$E$2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Лист2!$C$4:$E$4</c:f>
              <c:numCache>
                <c:formatCode>0.0</c:formatCode>
                <c:ptCount val="3"/>
                <c:pt idx="0">
                  <c:v>671.4</c:v>
                </c:pt>
                <c:pt idx="1">
                  <c:v>475.96003047004524</c:v>
                </c:pt>
                <c:pt idx="2">
                  <c:v>566.23481279444582</c:v>
                </c:pt>
              </c:numCache>
            </c:numRef>
          </c:val>
        </c:ser>
        <c:ser>
          <c:idx val="2"/>
          <c:order val="2"/>
          <c:tx>
            <c:strRef>
              <c:f>Лист2!$B$5</c:f>
              <c:strCache>
                <c:ptCount val="1"/>
                <c:pt idx="0">
                  <c:v>Болезни костно-мышечной системы</c:v>
                </c:pt>
              </c:strCache>
            </c:strRef>
          </c:tx>
          <c:spPr>
            <a:pattFill prst="dkVert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Лист2!$C$2:$E$2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Лист2!$C$5:$E$5</c:f>
              <c:numCache>
                <c:formatCode>0.0</c:formatCode>
                <c:ptCount val="3"/>
                <c:pt idx="0">
                  <c:v>158.57</c:v>
                </c:pt>
                <c:pt idx="1">
                  <c:v>150.15459067078908</c:v>
                </c:pt>
                <c:pt idx="2">
                  <c:v>155.7308455244235</c:v>
                </c:pt>
              </c:numCache>
            </c:numRef>
          </c:val>
        </c:ser>
        <c:ser>
          <c:idx val="3"/>
          <c:order val="3"/>
          <c:tx>
            <c:strRef>
              <c:f>Лист2!$B$6</c:f>
              <c:strCache>
                <c:ptCount val="1"/>
                <c:pt idx="0">
                  <c:v>Болезни мочеполовой системы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accent1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Лист2!$C$2:$E$2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Лист2!$C$6:$E$6</c:f>
              <c:numCache>
                <c:formatCode>0.0</c:formatCode>
                <c:ptCount val="3"/>
                <c:pt idx="0">
                  <c:v>62.6</c:v>
                </c:pt>
                <c:pt idx="1">
                  <c:v>114.8</c:v>
                </c:pt>
                <c:pt idx="2">
                  <c:v>81.840441358789988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7564160"/>
        <c:axId val="137565696"/>
      </c:barChart>
      <c:catAx>
        <c:axId val="137564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37565696"/>
        <c:crosses val="autoZero"/>
        <c:auto val="1"/>
        <c:lblAlgn val="ctr"/>
        <c:lblOffset val="100"/>
        <c:noMultiLvlLbl val="0"/>
      </c:catAx>
      <c:valAx>
        <c:axId val="137565696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375641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effectLst/>
              </a:rPr>
              <a:t>Динамика показателей заболеваемости по возрастным группам за период с 2018 по 2020 гг.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0.12396362264317788"/>
          <c:y val="2.3809770953698725E-2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Лист1!$A$30</c:f>
              <c:strCache>
                <c:ptCount val="1"/>
                <c:pt idx="0">
                  <c:v>Дети 0-14 лет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Лист1!$B$29:$D$29</c:f>
              <c:strCache>
                <c:ptCount val="3"/>
                <c:pt idx="0">
                  <c:v>2018г</c:v>
                </c:pt>
                <c:pt idx="1">
                  <c:v>2019г</c:v>
                </c:pt>
                <c:pt idx="2">
                  <c:v>2020г</c:v>
                </c:pt>
              </c:strCache>
            </c:strRef>
          </c:cat>
          <c:val>
            <c:numRef>
              <c:f>Лист1!$B$30:$D$30</c:f>
              <c:numCache>
                <c:formatCode>General</c:formatCode>
                <c:ptCount val="3"/>
                <c:pt idx="0">
                  <c:v>3850.2</c:v>
                </c:pt>
                <c:pt idx="1">
                  <c:v>2568.5</c:v>
                </c:pt>
                <c:pt idx="2" formatCode="0.0">
                  <c:v>2774.5831417944755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Лист1!$A$31</c:f>
              <c:strCache>
                <c:ptCount val="1"/>
                <c:pt idx="0">
                  <c:v>Подростки 15-17 лет</c:v>
                </c:pt>
              </c:strCache>
            </c:strRef>
          </c:tx>
          <c:dLbls>
            <c:dLbl>
              <c:idx val="1"/>
              <c:layout>
                <c:manualLayout>
                  <c:x val="-4.7931850545188948E-2"/>
                  <c:y val="-5.74988842158073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Лист1!$B$29:$D$29</c:f>
              <c:strCache>
                <c:ptCount val="3"/>
                <c:pt idx="0">
                  <c:v>2018г</c:v>
                </c:pt>
                <c:pt idx="1">
                  <c:v>2019г</c:v>
                </c:pt>
                <c:pt idx="2">
                  <c:v>2020г</c:v>
                </c:pt>
              </c:strCache>
            </c:strRef>
          </c:cat>
          <c:val>
            <c:numRef>
              <c:f>Лист1!$B$31:$D$31</c:f>
              <c:numCache>
                <c:formatCode>General</c:formatCode>
                <c:ptCount val="3"/>
                <c:pt idx="0">
                  <c:v>2229.5</c:v>
                </c:pt>
                <c:pt idx="1">
                  <c:v>1422.6</c:v>
                </c:pt>
                <c:pt idx="2" formatCode="0.0">
                  <c:v>2358.42754367934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Лист1!$A$32</c:f>
              <c:strCache>
                <c:ptCount val="1"/>
                <c:pt idx="0">
                  <c:v>Взрослые 18 лет и старше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Лист1!$B$29:$D$29</c:f>
              <c:strCache>
                <c:ptCount val="3"/>
                <c:pt idx="0">
                  <c:v>2018г</c:v>
                </c:pt>
                <c:pt idx="1">
                  <c:v>2019г</c:v>
                </c:pt>
                <c:pt idx="2">
                  <c:v>2020г</c:v>
                </c:pt>
              </c:strCache>
            </c:strRef>
          </c:cat>
          <c:val>
            <c:numRef>
              <c:f>Лист1!$B$32:$D$32</c:f>
              <c:numCache>
                <c:formatCode>General</c:formatCode>
                <c:ptCount val="3"/>
                <c:pt idx="0">
                  <c:v>1217.4000000000001</c:v>
                </c:pt>
                <c:pt idx="1">
                  <c:v>1286.5</c:v>
                </c:pt>
                <c:pt idx="2" formatCode="0.0">
                  <c:v>1139.07727958289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7585024"/>
        <c:axId val="137604480"/>
      </c:lineChart>
      <c:catAx>
        <c:axId val="13758502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7604480"/>
        <c:crosses val="autoZero"/>
        <c:auto val="1"/>
        <c:lblAlgn val="ctr"/>
        <c:lblOffset val="100"/>
        <c:noMultiLvlLbl val="0"/>
      </c:catAx>
      <c:valAx>
        <c:axId val="13760448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75850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effectLst/>
              </a:rPr>
              <a:t>Структура общей заболеваемости (общая)  за 2020 год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Лист1!$A$8:$A$26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Лист1!$F$8:$F$26</c:f>
              <c:numCache>
                <c:formatCode>0.0</c:formatCode>
                <c:ptCount val="19"/>
                <c:pt idx="0">
                  <c:v>61.623598930732072</c:v>
                </c:pt>
                <c:pt idx="1">
                  <c:v>34.907533336459849</c:v>
                </c:pt>
                <c:pt idx="2">
                  <c:v>8.5353843267832854</c:v>
                </c:pt>
                <c:pt idx="3">
                  <c:v>80.273257359033281</c:v>
                </c:pt>
                <c:pt idx="4">
                  <c:v>18.438618705935689</c:v>
                </c:pt>
                <c:pt idx="5">
                  <c:v>54.135596929762855</c:v>
                </c:pt>
                <c:pt idx="6">
                  <c:v>64.312401319389082</c:v>
                </c:pt>
                <c:pt idx="7">
                  <c:v>20.275445919117072</c:v>
                </c:pt>
                <c:pt idx="8">
                  <c:v>122.47338554612391</c:v>
                </c:pt>
                <c:pt idx="9">
                  <c:v>571.18291672528881</c:v>
                </c:pt>
                <c:pt idx="10">
                  <c:v>85.713392424455591</c:v>
                </c:pt>
                <c:pt idx="11">
                  <c:v>48.867420156638374</c:v>
                </c:pt>
                <c:pt idx="12">
                  <c:v>157.09171630008285</c:v>
                </c:pt>
                <c:pt idx="13">
                  <c:v>82.555612874986323</c:v>
                </c:pt>
                <c:pt idx="14">
                  <c:v>6.3077428129250102</c:v>
                </c:pt>
                <c:pt idx="15">
                  <c:v>1.3287686223014272</c:v>
                </c:pt>
                <c:pt idx="16">
                  <c:v>9.4733386484078217</c:v>
                </c:pt>
                <c:pt idx="17">
                  <c:v>0</c:v>
                </c:pt>
                <c:pt idx="18">
                  <c:v>54.573308946520974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7763840"/>
        <c:axId val="137779072"/>
      </c:lineChart>
      <c:catAx>
        <c:axId val="137763840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37779072"/>
        <c:crosses val="autoZero"/>
        <c:auto val="1"/>
        <c:lblAlgn val="ctr"/>
        <c:lblOffset val="100"/>
        <c:noMultiLvlLbl val="0"/>
      </c:catAx>
      <c:valAx>
        <c:axId val="137779072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377638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 b="1" i="0" baseline="0">
                <a:effectLst/>
              </a:rPr>
              <a:t>Структура общей заболеваемости (дети)  за 2020 год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2349887243552105"/>
          <c:y val="0.13154767418778535"/>
          <c:w val="0.77031377772136567"/>
          <c:h val="0.42103839961181322"/>
        </c:manualLayout>
      </c:layout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Лист1!$A$8:$A$26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Лист1!$G$8:$G$26</c:f>
              <c:numCache>
                <c:formatCode>0.0</c:formatCode>
                <c:ptCount val="19"/>
                <c:pt idx="0">
                  <c:v>54.034853107108532</c:v>
                </c:pt>
                <c:pt idx="1">
                  <c:v>6.9789794809645205</c:v>
                </c:pt>
                <c:pt idx="2">
                  <c:v>11.6177023695098</c:v>
                </c:pt>
                <c:pt idx="3">
                  <c:v>24.781645701868026</c:v>
                </c:pt>
                <c:pt idx="4">
                  <c:v>21.313051109532367</c:v>
                </c:pt>
                <c:pt idx="5">
                  <c:v>129.54991850892222</c:v>
                </c:pt>
                <c:pt idx="6">
                  <c:v>112.83379999164194</c:v>
                </c:pt>
                <c:pt idx="7">
                  <c:v>29.127836516360901</c:v>
                </c:pt>
                <c:pt idx="8">
                  <c:v>6.0595929625141043</c:v>
                </c:pt>
                <c:pt idx="9">
                  <c:v>1921.1417108947303</c:v>
                </c:pt>
                <c:pt idx="10">
                  <c:v>134.06327050858792</c:v>
                </c:pt>
                <c:pt idx="11">
                  <c:v>87.174558067616701</c:v>
                </c:pt>
                <c:pt idx="12">
                  <c:v>60.888461699193449</c:v>
                </c:pt>
                <c:pt idx="13">
                  <c:v>38.530653182331065</c:v>
                </c:pt>
                <c:pt idx="14">
                  <c:v>0</c:v>
                </c:pt>
                <c:pt idx="15">
                  <c:v>7.1043503698441226</c:v>
                </c:pt>
                <c:pt idx="16">
                  <c:v>41.623135108027917</c:v>
                </c:pt>
                <c:pt idx="17">
                  <c:v>0</c:v>
                </c:pt>
                <c:pt idx="18">
                  <c:v>87.759622215721507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7795456"/>
        <c:axId val="137818112"/>
      </c:lineChart>
      <c:catAx>
        <c:axId val="137795456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37818112"/>
        <c:crosses val="autoZero"/>
        <c:auto val="1"/>
        <c:lblAlgn val="ctr"/>
        <c:lblOffset val="100"/>
        <c:noMultiLvlLbl val="0"/>
      </c:catAx>
      <c:valAx>
        <c:axId val="137818112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37795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1" i="0" baseline="0">
                <a:effectLst/>
              </a:rPr>
              <a:t>Структура общей заболеваемости (подростки)  за 2020 год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2788011374093414"/>
          <c:y val="0.1120580397511745"/>
          <c:w val="0.75243308813851384"/>
          <c:h val="0.45178484309459516"/>
        </c:manualLayout>
      </c:layout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Лист1!$A$8:$A$26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Лист1!$H$8:$H$26</c:f>
              <c:numCache>
                <c:formatCode>0.0</c:formatCode>
                <c:ptCount val="19"/>
                <c:pt idx="0">
                  <c:v>16.95786228160329</c:v>
                </c:pt>
                <c:pt idx="1">
                  <c:v>10.791366906474821</c:v>
                </c:pt>
                <c:pt idx="2">
                  <c:v>17.214799588900309</c:v>
                </c:pt>
                <c:pt idx="3">
                  <c:v>87.101747173689617</c:v>
                </c:pt>
                <c:pt idx="4">
                  <c:v>40.853031860226103</c:v>
                </c:pt>
                <c:pt idx="5">
                  <c:v>151.33607399794451</c:v>
                </c:pt>
                <c:pt idx="6">
                  <c:v>114.08016443987667</c:v>
                </c:pt>
                <c:pt idx="7">
                  <c:v>29.033915724563208</c:v>
                </c:pt>
                <c:pt idx="8">
                  <c:v>22.610483042137719</c:v>
                </c:pt>
                <c:pt idx="9">
                  <c:v>1345.3237410071943</c:v>
                </c:pt>
                <c:pt idx="10">
                  <c:v>77.338129496402871</c:v>
                </c:pt>
                <c:pt idx="11">
                  <c:v>78.108941418293938</c:v>
                </c:pt>
                <c:pt idx="12">
                  <c:v>127.69784172661871</c:v>
                </c:pt>
                <c:pt idx="13">
                  <c:v>116.64953751284686</c:v>
                </c:pt>
                <c:pt idx="14">
                  <c:v>0</c:v>
                </c:pt>
                <c:pt idx="15">
                  <c:v>0</c:v>
                </c:pt>
                <c:pt idx="16">
                  <c:v>29.033915724563208</c:v>
                </c:pt>
                <c:pt idx="17">
                  <c:v>0</c:v>
                </c:pt>
                <c:pt idx="18">
                  <c:v>94.295991778006169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7821568"/>
        <c:axId val="137991680"/>
      </c:lineChart>
      <c:catAx>
        <c:axId val="137821568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37991680"/>
        <c:crosses val="autoZero"/>
        <c:auto val="1"/>
        <c:lblAlgn val="ctr"/>
        <c:lblOffset val="100"/>
        <c:noMultiLvlLbl val="0"/>
      </c:catAx>
      <c:valAx>
        <c:axId val="137991680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378215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effectLst/>
              </a:rPr>
              <a:t>Структура общей заболеваемости (взрослые)  за 2020 год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Лист1!$A$8:$A$26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Лист1!$I$8:$I$26</c:f>
              <c:numCache>
                <c:formatCode>0.0</c:formatCode>
                <c:ptCount val="19"/>
                <c:pt idx="0">
                  <c:v>65.173746716341881</c:v>
                </c:pt>
                <c:pt idx="1">
                  <c:v>42.52025130597201</c:v>
                </c:pt>
                <c:pt idx="2">
                  <c:v>7.4612703137329328</c:v>
                </c:pt>
                <c:pt idx="3">
                  <c:v>93.270873078498155</c:v>
                </c:pt>
                <c:pt idx="4">
                  <c:v>16.880250107374373</c:v>
                </c:pt>
                <c:pt idx="5">
                  <c:v>32.332171359509374</c:v>
                </c:pt>
                <c:pt idx="6">
                  <c:v>50.780586713545155</c:v>
                </c:pt>
                <c:pt idx="7">
                  <c:v>17.819151592636615</c:v>
                </c:pt>
                <c:pt idx="8">
                  <c:v>154.17960985646792</c:v>
                </c:pt>
                <c:pt idx="9">
                  <c:v>218.43443171489358</c:v>
                </c:pt>
                <c:pt idx="10">
                  <c:v>74.482855059580288</c:v>
                </c:pt>
                <c:pt idx="11">
                  <c:v>38.57486740513599</c:v>
                </c:pt>
                <c:pt idx="12">
                  <c:v>181.22796328295894</c:v>
                </c:pt>
                <c:pt idx="13">
                  <c:v>91.752649400201761</c:v>
                </c:pt>
                <c:pt idx="14">
                  <c:v>8.0605691341130878</c:v>
                </c:pt>
                <c:pt idx="15">
                  <c:v>0</c:v>
                </c:pt>
                <c:pt idx="16">
                  <c:v>1.0287963083192664</c:v>
                </c:pt>
                <c:pt idx="17">
                  <c:v>0</c:v>
                </c:pt>
                <c:pt idx="18">
                  <c:v>45.097236233606679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7995776"/>
        <c:axId val="138014080"/>
      </c:lineChart>
      <c:catAx>
        <c:axId val="137995776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38014080"/>
        <c:crosses val="autoZero"/>
        <c:auto val="1"/>
        <c:lblAlgn val="ctr"/>
        <c:lblOffset val="100"/>
        <c:noMultiLvlLbl val="0"/>
      </c:catAx>
      <c:valAx>
        <c:axId val="138014080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379957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D9520-FDF6-4B06-B9E6-529667F8C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1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196</cp:revision>
  <cp:lastPrinted>2018-02-03T10:09:00Z</cp:lastPrinted>
  <dcterms:created xsi:type="dcterms:W3CDTF">2014-01-17T08:49:00Z</dcterms:created>
  <dcterms:modified xsi:type="dcterms:W3CDTF">2021-02-08T07:19:00Z</dcterms:modified>
</cp:coreProperties>
</file>