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C844F3"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BD10D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F08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BD10D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11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DA3F03" w:rsidRDefault="00DA3F03" w:rsidP="00DA3F03">
      <w:pPr>
        <w:ind w:left="5670"/>
        <w:rPr>
          <w:sz w:val="28"/>
          <w:szCs w:val="28"/>
        </w:rPr>
      </w:pPr>
    </w:p>
    <w:p w:rsidR="002623E7" w:rsidRPr="002623E7" w:rsidRDefault="002623E7" w:rsidP="002623E7">
      <w:pPr>
        <w:rPr>
          <w:sz w:val="28"/>
        </w:rPr>
      </w:pPr>
      <w:r w:rsidRPr="002623E7">
        <w:rPr>
          <w:sz w:val="28"/>
        </w:rPr>
        <w:t>исх. СП-43-1</w:t>
      </w:r>
      <w:r w:rsidR="001E605E">
        <w:rPr>
          <w:sz w:val="28"/>
        </w:rPr>
        <w:t xml:space="preserve"> </w:t>
      </w:r>
      <w:r w:rsidRPr="002623E7">
        <w:rPr>
          <w:sz w:val="28"/>
        </w:rPr>
        <w:t>от 08.02.2021</w:t>
      </w:r>
    </w:p>
    <w:p w:rsidR="00DA3F03" w:rsidRDefault="00DA3F03">
      <w:pPr>
        <w:jc w:val="center"/>
        <w:rPr>
          <w:b/>
          <w:sz w:val="28"/>
        </w:rPr>
      </w:pPr>
    </w:p>
    <w:p w:rsidR="009E7BD4" w:rsidRDefault="009E7BD4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C844F3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E60365" w:rsidRDefault="00E60365" w:rsidP="00E60365">
      <w:pPr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«Управление муниципальными финансами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</w:t>
      </w:r>
      <w:r w:rsidRPr="003B1254">
        <w:rPr>
          <w:sz w:val="28"/>
          <w:szCs w:val="28"/>
        </w:rPr>
        <w:t>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B4C35" w:rsidRPr="00721A74" w:rsidRDefault="002B4C35" w:rsidP="002B4C35">
      <w:pPr>
        <w:tabs>
          <w:tab w:val="left" w:pos="0"/>
        </w:tabs>
        <w:ind w:firstLine="709"/>
        <w:jc w:val="both"/>
        <w:rPr>
          <w:sz w:val="28"/>
        </w:rPr>
      </w:pPr>
      <w:r w:rsidRPr="00721A74">
        <w:rPr>
          <w:sz w:val="28"/>
          <w:szCs w:val="28"/>
        </w:rPr>
        <w:lastRenderedPageBreak/>
        <w:t xml:space="preserve">2. </w:t>
      </w:r>
      <w:r w:rsidRPr="00721A74">
        <w:rPr>
          <w:sz w:val="28"/>
        </w:rPr>
        <w:t>Представленный проект изменений соответствует Порядку от 18.04.2019 № 77-нп.</w:t>
      </w:r>
    </w:p>
    <w:p w:rsidR="00084CB3" w:rsidRPr="001F12DF" w:rsidRDefault="00084CB3" w:rsidP="00084C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084CB3" w:rsidRPr="00084CB3" w:rsidRDefault="00084CB3" w:rsidP="00084CB3">
      <w:pPr>
        <w:widowControl w:val="0"/>
        <w:ind w:firstLine="708"/>
        <w:jc w:val="both"/>
        <w:rPr>
          <w:sz w:val="28"/>
          <w:szCs w:val="28"/>
        </w:rPr>
      </w:pPr>
      <w:r w:rsidRPr="00084CB3">
        <w:rPr>
          <w:sz w:val="28"/>
          <w:szCs w:val="28"/>
        </w:rPr>
        <w:t xml:space="preserve">3.1. В паспорте </w:t>
      </w:r>
      <w:r w:rsidR="00DA3F03">
        <w:rPr>
          <w:sz w:val="28"/>
          <w:szCs w:val="28"/>
        </w:rPr>
        <w:t xml:space="preserve">муниципальной программы </w:t>
      </w:r>
      <w:r w:rsidRPr="00084CB3">
        <w:rPr>
          <w:sz w:val="28"/>
          <w:szCs w:val="28"/>
        </w:rPr>
        <w:t>строку «Параметры финансового обеспечения муниципальной программы» изло</w:t>
      </w:r>
      <w:r>
        <w:rPr>
          <w:sz w:val="28"/>
          <w:szCs w:val="28"/>
        </w:rPr>
        <w:t xml:space="preserve">жить в новой редакции, </w:t>
      </w:r>
      <w:r w:rsidR="00DA3F03">
        <w:rPr>
          <w:sz w:val="28"/>
          <w:szCs w:val="28"/>
        </w:rPr>
        <w:t>уменьшив</w:t>
      </w:r>
      <w:r>
        <w:rPr>
          <w:sz w:val="28"/>
          <w:szCs w:val="28"/>
        </w:rPr>
        <w:t xml:space="preserve"> </w:t>
      </w:r>
      <w:r w:rsidRPr="00084CB3">
        <w:rPr>
          <w:sz w:val="28"/>
          <w:szCs w:val="28"/>
        </w:rPr>
        <w:t xml:space="preserve">общий объём финансирования </w:t>
      </w:r>
      <w:r>
        <w:rPr>
          <w:sz w:val="28"/>
          <w:szCs w:val="28"/>
        </w:rPr>
        <w:t xml:space="preserve">за счёт средств местного бюджета </w:t>
      </w:r>
      <w:r w:rsidRPr="00084CB3">
        <w:rPr>
          <w:sz w:val="28"/>
          <w:szCs w:val="28"/>
        </w:rPr>
        <w:t xml:space="preserve">на </w:t>
      </w:r>
      <w:r w:rsidR="00DA3F03">
        <w:rPr>
          <w:sz w:val="28"/>
          <w:szCs w:val="28"/>
        </w:rPr>
        <w:t>11 775,178</w:t>
      </w:r>
      <w:r w:rsidRPr="00084CB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84CB3" w:rsidRPr="00084CB3" w:rsidRDefault="00084CB3" w:rsidP="00084CB3">
      <w:pPr>
        <w:widowControl w:val="0"/>
        <w:ind w:firstLine="708"/>
        <w:jc w:val="both"/>
        <w:rPr>
          <w:sz w:val="28"/>
          <w:szCs w:val="28"/>
        </w:rPr>
      </w:pPr>
      <w:r w:rsidRPr="00084CB3">
        <w:rPr>
          <w:sz w:val="28"/>
          <w:szCs w:val="28"/>
        </w:rPr>
        <w:t xml:space="preserve">- </w:t>
      </w:r>
      <w:r w:rsidR="00DA3F03">
        <w:rPr>
          <w:sz w:val="28"/>
          <w:szCs w:val="28"/>
        </w:rPr>
        <w:t xml:space="preserve">увеличить в </w:t>
      </w:r>
      <w:r w:rsidRPr="00084CB3">
        <w:rPr>
          <w:sz w:val="28"/>
          <w:szCs w:val="28"/>
        </w:rPr>
        <w:t>202</w:t>
      </w:r>
      <w:r w:rsidR="00DA3F03">
        <w:rPr>
          <w:sz w:val="28"/>
          <w:szCs w:val="28"/>
        </w:rPr>
        <w:t>1</w:t>
      </w:r>
      <w:r w:rsidRPr="00084CB3">
        <w:rPr>
          <w:sz w:val="28"/>
          <w:szCs w:val="28"/>
        </w:rPr>
        <w:t xml:space="preserve"> год</w:t>
      </w:r>
      <w:r w:rsidR="00DA3F03">
        <w:rPr>
          <w:sz w:val="28"/>
          <w:szCs w:val="28"/>
        </w:rPr>
        <w:t>у</w:t>
      </w:r>
      <w:r w:rsidRPr="00084CB3">
        <w:rPr>
          <w:sz w:val="28"/>
          <w:szCs w:val="28"/>
        </w:rPr>
        <w:t xml:space="preserve"> на </w:t>
      </w:r>
      <w:r w:rsidR="00DA3F03">
        <w:rPr>
          <w:sz w:val="28"/>
          <w:szCs w:val="28"/>
        </w:rPr>
        <w:t>176,022</w:t>
      </w:r>
      <w:r w:rsidRPr="00084CB3">
        <w:rPr>
          <w:sz w:val="28"/>
          <w:szCs w:val="28"/>
        </w:rPr>
        <w:t xml:space="preserve"> тыс. рублей;</w:t>
      </w:r>
    </w:p>
    <w:p w:rsidR="00084CB3" w:rsidRDefault="00084CB3" w:rsidP="00084CB3">
      <w:pPr>
        <w:widowControl w:val="0"/>
        <w:ind w:firstLine="708"/>
        <w:jc w:val="both"/>
        <w:rPr>
          <w:sz w:val="28"/>
          <w:szCs w:val="28"/>
        </w:rPr>
      </w:pPr>
      <w:r w:rsidRPr="00084CB3">
        <w:rPr>
          <w:sz w:val="28"/>
          <w:szCs w:val="28"/>
        </w:rPr>
        <w:t xml:space="preserve">- </w:t>
      </w:r>
      <w:r w:rsidR="00DA3F03">
        <w:rPr>
          <w:sz w:val="28"/>
          <w:szCs w:val="28"/>
        </w:rPr>
        <w:t xml:space="preserve">уменьшить в </w:t>
      </w:r>
      <w:r w:rsidRPr="00084CB3">
        <w:rPr>
          <w:sz w:val="28"/>
          <w:szCs w:val="28"/>
        </w:rPr>
        <w:t>20</w:t>
      </w:r>
      <w:r w:rsidR="00DA3F03">
        <w:rPr>
          <w:sz w:val="28"/>
          <w:szCs w:val="28"/>
        </w:rPr>
        <w:t>22</w:t>
      </w:r>
      <w:r w:rsidRPr="00084CB3">
        <w:rPr>
          <w:sz w:val="28"/>
          <w:szCs w:val="28"/>
        </w:rPr>
        <w:t xml:space="preserve"> год</w:t>
      </w:r>
      <w:r w:rsidR="00DA3F03">
        <w:rPr>
          <w:sz w:val="28"/>
          <w:szCs w:val="28"/>
        </w:rPr>
        <w:t>у</w:t>
      </w:r>
      <w:r w:rsidRPr="00084CB3">
        <w:rPr>
          <w:sz w:val="28"/>
          <w:szCs w:val="28"/>
        </w:rPr>
        <w:t xml:space="preserve"> на </w:t>
      </w:r>
      <w:r w:rsidR="00DA3F03">
        <w:rPr>
          <w:sz w:val="28"/>
          <w:szCs w:val="28"/>
        </w:rPr>
        <w:t>3 000,000 тыс. рублей;</w:t>
      </w:r>
    </w:p>
    <w:p w:rsidR="00DA3F03" w:rsidRDefault="00DA3F03" w:rsidP="00084CB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в 2023 году на 8 852,000 тыс. рублей;</w:t>
      </w:r>
    </w:p>
    <w:p w:rsidR="00DA3F03" w:rsidRDefault="00DA3F03" w:rsidP="00084CB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уменьшить в 2024 году на 99,200 тыс. рублей.</w:t>
      </w:r>
    </w:p>
    <w:p w:rsidR="00DA3F03" w:rsidRDefault="00DA3F03" w:rsidP="00084CB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 основному мероприятию 1.1 «Обеспечение деятельности департамента финансов» подпрограммы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«Организация бюджетного процесса в городе Нефтеюганске» увеличить бюджетные ассигнования в 2021 году на 176,022 тыс. рублей на компенсацию расходов по обследованию на новую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инфекцию, вызванную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–19, понесённых муниципальными служащими администрации города, возвращающимися в Ханты-Мансийский автономный округ – Югру из отпусков.</w:t>
      </w:r>
    </w:p>
    <w:p w:rsidR="0054135D" w:rsidRDefault="00255D6B" w:rsidP="00E0224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Расчёт</w:t>
      </w:r>
      <w:r w:rsidR="00376C84">
        <w:rPr>
          <w:sz w:val="28"/>
          <w:szCs w:val="28"/>
        </w:rPr>
        <w:t xml:space="preserve"> стоимости на вышеуказанные расходы произведен путём вычисления средней цены </w:t>
      </w:r>
      <w:r>
        <w:rPr>
          <w:sz w:val="28"/>
          <w:szCs w:val="28"/>
        </w:rPr>
        <w:t>на основании</w:t>
      </w:r>
      <w:r w:rsidR="00376C84">
        <w:rPr>
          <w:sz w:val="28"/>
          <w:szCs w:val="28"/>
        </w:rPr>
        <w:t xml:space="preserve"> трё</w:t>
      </w:r>
      <w:r>
        <w:rPr>
          <w:sz w:val="28"/>
          <w:szCs w:val="28"/>
        </w:rPr>
        <w:t>х</w:t>
      </w:r>
      <w:r w:rsidR="00376C84">
        <w:rPr>
          <w:sz w:val="28"/>
          <w:szCs w:val="28"/>
        </w:rPr>
        <w:t xml:space="preserve"> коммерчески</w:t>
      </w:r>
      <w:r>
        <w:rPr>
          <w:sz w:val="28"/>
          <w:szCs w:val="28"/>
        </w:rPr>
        <w:t>х</w:t>
      </w:r>
      <w:r w:rsidR="00376C84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376C84">
        <w:rPr>
          <w:sz w:val="28"/>
          <w:szCs w:val="28"/>
        </w:rPr>
        <w:t xml:space="preserve">. </w:t>
      </w:r>
      <w:r w:rsidR="00D648AD">
        <w:rPr>
          <w:sz w:val="28"/>
          <w:szCs w:val="28"/>
        </w:rPr>
        <w:t>П</w:t>
      </w:r>
      <w:r w:rsidR="00376C84">
        <w:rPr>
          <w:sz w:val="28"/>
          <w:szCs w:val="28"/>
        </w:rPr>
        <w:t xml:space="preserve">роанализировав </w:t>
      </w:r>
      <w:r w:rsidR="00BC52C5">
        <w:rPr>
          <w:sz w:val="28"/>
          <w:szCs w:val="28"/>
        </w:rPr>
        <w:t xml:space="preserve">аналогичные расходы, </w:t>
      </w:r>
      <w:r w:rsidR="00376C84">
        <w:rPr>
          <w:sz w:val="28"/>
          <w:szCs w:val="28"/>
        </w:rPr>
        <w:t>планируемые по комитету культуры и туризма администрации города Нефтеюганска и комитету физической культуры и спорта администрации города Нефтеюганска уста</w:t>
      </w:r>
      <w:r w:rsidR="00BC52C5">
        <w:rPr>
          <w:sz w:val="28"/>
          <w:szCs w:val="28"/>
        </w:rPr>
        <w:t>но</w:t>
      </w:r>
      <w:r w:rsidR="00376C84">
        <w:rPr>
          <w:sz w:val="28"/>
          <w:szCs w:val="28"/>
        </w:rPr>
        <w:t>влено, что стоимост</w:t>
      </w:r>
      <w:r>
        <w:rPr>
          <w:sz w:val="28"/>
          <w:szCs w:val="28"/>
        </w:rPr>
        <w:t>ь рассчитана</w:t>
      </w:r>
      <w:r w:rsidR="00376C84">
        <w:rPr>
          <w:sz w:val="28"/>
          <w:szCs w:val="28"/>
        </w:rPr>
        <w:t xml:space="preserve"> по наименьшей цене</w:t>
      </w:r>
      <w:r w:rsidR="00D648AD">
        <w:rPr>
          <w:sz w:val="28"/>
          <w:szCs w:val="28"/>
        </w:rPr>
        <w:t>,</w:t>
      </w:r>
      <w:r w:rsidR="00376C84">
        <w:rPr>
          <w:sz w:val="28"/>
          <w:szCs w:val="28"/>
        </w:rPr>
        <w:t xml:space="preserve"> </w:t>
      </w:r>
      <w:r w:rsidR="00D648AD">
        <w:rPr>
          <w:sz w:val="28"/>
          <w:szCs w:val="28"/>
        </w:rPr>
        <w:t xml:space="preserve">указанной в </w:t>
      </w:r>
      <w:r w:rsidR="00376C84">
        <w:rPr>
          <w:sz w:val="28"/>
          <w:szCs w:val="28"/>
        </w:rPr>
        <w:t>трё</w:t>
      </w:r>
      <w:r>
        <w:rPr>
          <w:sz w:val="28"/>
          <w:szCs w:val="28"/>
        </w:rPr>
        <w:t>х</w:t>
      </w:r>
      <w:r w:rsidR="00376C84">
        <w:rPr>
          <w:sz w:val="28"/>
          <w:szCs w:val="28"/>
        </w:rPr>
        <w:t xml:space="preserve"> коммерчески</w:t>
      </w:r>
      <w:r>
        <w:rPr>
          <w:sz w:val="28"/>
          <w:szCs w:val="28"/>
        </w:rPr>
        <w:t>х</w:t>
      </w:r>
      <w:r w:rsidR="00376C84">
        <w:rPr>
          <w:sz w:val="28"/>
          <w:szCs w:val="28"/>
        </w:rPr>
        <w:t xml:space="preserve"> предложени</w:t>
      </w:r>
      <w:r w:rsidR="00E0224B">
        <w:rPr>
          <w:sz w:val="28"/>
          <w:szCs w:val="28"/>
        </w:rPr>
        <w:t>ях</w:t>
      </w:r>
      <w:r w:rsidR="00D648AD">
        <w:rPr>
          <w:sz w:val="28"/>
          <w:szCs w:val="28"/>
        </w:rPr>
        <w:t>.</w:t>
      </w:r>
    </w:p>
    <w:p w:rsidR="00D06B34" w:rsidRDefault="00D06B34" w:rsidP="00E0224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71DC5">
        <w:rPr>
          <w:sz w:val="28"/>
          <w:szCs w:val="28"/>
        </w:rPr>
        <w:t>,</w:t>
      </w:r>
      <w:r>
        <w:rPr>
          <w:sz w:val="28"/>
          <w:szCs w:val="28"/>
        </w:rPr>
        <w:t xml:space="preserve"> плановые затраты департамента финансов администрации города Нефтеюганска </w:t>
      </w:r>
      <w:r w:rsidR="0054135D">
        <w:rPr>
          <w:sz w:val="28"/>
          <w:szCs w:val="28"/>
        </w:rPr>
        <w:t xml:space="preserve">в сравнении с планируемыми затратами комитетов рассчитаны по более высокой стоимости аналогичных услуг. Рекомендуем при планировании расходов бюджетных средств расчёт плановых затрат органов администрации осуществлять с учётом единообразного подхода и экономии средств бюджета города.  </w:t>
      </w:r>
      <w:r w:rsidR="00D648AD">
        <w:rPr>
          <w:sz w:val="28"/>
          <w:szCs w:val="28"/>
        </w:rPr>
        <w:t xml:space="preserve"> </w:t>
      </w:r>
    </w:p>
    <w:p w:rsidR="00084CB3" w:rsidRPr="00084CB3" w:rsidRDefault="00DA3F03" w:rsidP="00084CB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3.3</w:t>
      </w:r>
      <w:r w:rsidR="00084CB3" w:rsidRPr="00084CB3">
        <w:rPr>
          <w:sz w:val="28"/>
          <w:szCs w:val="28"/>
        </w:rPr>
        <w:t xml:space="preserve">. </w:t>
      </w:r>
      <w:r w:rsidR="00084CB3" w:rsidRPr="00084CB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084CB3">
        <w:rPr>
          <w:sz w:val="28"/>
          <w:szCs w:val="28"/>
        </w:rPr>
        <w:t xml:space="preserve">о основному мероприятию 2.2 </w:t>
      </w:r>
      <w:r w:rsidRPr="00084CB3">
        <w:rPr>
          <w:sz w:val="28"/>
        </w:rPr>
        <w:t xml:space="preserve">«Обслуживание муниципального долга» </w:t>
      </w:r>
      <w:r w:rsidR="00084CB3" w:rsidRPr="00084CB3">
        <w:rPr>
          <w:sz w:val="28"/>
        </w:rPr>
        <w:t xml:space="preserve">подпрограммы II «Управление муниципальным долгом города Нефтеюганска» </w:t>
      </w:r>
      <w:r>
        <w:rPr>
          <w:sz w:val="28"/>
          <w:szCs w:val="28"/>
        </w:rPr>
        <w:t>уменьшить средства, выделенные на обслуживание муниципального долга</w:t>
      </w:r>
      <w:r w:rsidR="00D535B4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</w:t>
      </w:r>
      <w:r w:rsidR="00D535B4">
        <w:rPr>
          <w:sz w:val="28"/>
          <w:szCs w:val="28"/>
        </w:rPr>
        <w:t xml:space="preserve">отсутствием необходимости </w:t>
      </w:r>
      <w:r w:rsidR="00084CB3" w:rsidRPr="00084CB3">
        <w:rPr>
          <w:sz w:val="28"/>
        </w:rPr>
        <w:t xml:space="preserve">в общей сумме на </w:t>
      </w:r>
      <w:r>
        <w:rPr>
          <w:sz w:val="28"/>
        </w:rPr>
        <w:t>11 951,200</w:t>
      </w:r>
      <w:r w:rsidR="00084CB3" w:rsidRPr="00084CB3">
        <w:rPr>
          <w:sz w:val="28"/>
        </w:rPr>
        <w:t xml:space="preserve"> тыс. рублей, из них:</w:t>
      </w:r>
    </w:p>
    <w:p w:rsidR="00084CB3" w:rsidRPr="00084CB3" w:rsidRDefault="00084CB3" w:rsidP="00084C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4CB3">
        <w:rPr>
          <w:sz w:val="28"/>
        </w:rPr>
        <w:t xml:space="preserve">- </w:t>
      </w:r>
      <w:r w:rsidR="00DA3F03">
        <w:rPr>
          <w:sz w:val="28"/>
        </w:rPr>
        <w:t>на</w:t>
      </w:r>
      <w:r w:rsidRPr="00084CB3">
        <w:rPr>
          <w:sz w:val="28"/>
        </w:rPr>
        <w:t xml:space="preserve"> 202</w:t>
      </w:r>
      <w:r w:rsidR="00DA3F03">
        <w:rPr>
          <w:sz w:val="28"/>
        </w:rPr>
        <w:t>2</w:t>
      </w:r>
      <w:r w:rsidRPr="00084CB3">
        <w:rPr>
          <w:sz w:val="28"/>
        </w:rPr>
        <w:t xml:space="preserve"> год </w:t>
      </w:r>
      <w:r w:rsidR="00DA3F03">
        <w:rPr>
          <w:sz w:val="28"/>
        </w:rPr>
        <w:t>в сумме 3 000,00</w:t>
      </w:r>
      <w:r w:rsidRPr="00084CB3">
        <w:rPr>
          <w:sz w:val="28"/>
        </w:rPr>
        <w:t xml:space="preserve"> тыс. рублей;</w:t>
      </w:r>
    </w:p>
    <w:p w:rsidR="00084CB3" w:rsidRDefault="00084CB3" w:rsidP="00084CB3">
      <w:pPr>
        <w:widowControl w:val="0"/>
        <w:ind w:firstLine="708"/>
        <w:jc w:val="both"/>
        <w:rPr>
          <w:sz w:val="28"/>
          <w:szCs w:val="28"/>
        </w:rPr>
      </w:pPr>
      <w:r w:rsidRPr="00084CB3">
        <w:rPr>
          <w:sz w:val="28"/>
          <w:szCs w:val="28"/>
        </w:rPr>
        <w:t>- на 202</w:t>
      </w:r>
      <w:r w:rsidR="00DA3F03">
        <w:rPr>
          <w:sz w:val="28"/>
          <w:szCs w:val="28"/>
        </w:rPr>
        <w:t>3</w:t>
      </w:r>
      <w:r w:rsidRPr="00084CB3">
        <w:rPr>
          <w:sz w:val="28"/>
          <w:szCs w:val="28"/>
        </w:rPr>
        <w:t xml:space="preserve"> год в </w:t>
      </w:r>
      <w:r w:rsidR="00DA3F03">
        <w:rPr>
          <w:sz w:val="28"/>
          <w:szCs w:val="28"/>
        </w:rPr>
        <w:t>сумме 8 852,000</w:t>
      </w:r>
      <w:r w:rsidRPr="00084CB3">
        <w:rPr>
          <w:sz w:val="28"/>
          <w:szCs w:val="28"/>
        </w:rPr>
        <w:t xml:space="preserve"> тыс. рублей</w:t>
      </w:r>
      <w:r w:rsidR="00DA3F03">
        <w:rPr>
          <w:sz w:val="28"/>
          <w:szCs w:val="28"/>
        </w:rPr>
        <w:t>;</w:t>
      </w:r>
    </w:p>
    <w:p w:rsidR="003D45F3" w:rsidRDefault="00DA3F03" w:rsidP="00DA3F0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2024 год в сумме 99,200 тыс. рублей.</w:t>
      </w:r>
    </w:p>
    <w:p w:rsidR="00CC3AFB" w:rsidRPr="00084CB3" w:rsidRDefault="00CC3AFB" w:rsidP="00DA3F03">
      <w:pPr>
        <w:widowControl w:val="0"/>
        <w:ind w:firstLine="708"/>
        <w:jc w:val="both"/>
        <w:rPr>
          <w:sz w:val="28"/>
          <w:szCs w:val="28"/>
        </w:rPr>
      </w:pPr>
    </w:p>
    <w:p w:rsidR="001866F7" w:rsidRDefault="001866F7" w:rsidP="001866F7">
      <w:pPr>
        <w:tabs>
          <w:tab w:val="left" w:pos="0"/>
        </w:tabs>
        <w:ind w:firstLine="709"/>
        <w:jc w:val="both"/>
        <w:rPr>
          <w:sz w:val="28"/>
        </w:rPr>
      </w:pPr>
      <w:r w:rsidRPr="00084CB3"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190075" w:rsidRPr="00084CB3" w:rsidRDefault="00190075" w:rsidP="001866F7">
      <w:pPr>
        <w:tabs>
          <w:tab w:val="left" w:pos="0"/>
        </w:tabs>
        <w:ind w:firstLine="709"/>
        <w:jc w:val="both"/>
        <w:rPr>
          <w:sz w:val="28"/>
        </w:rPr>
      </w:pPr>
    </w:p>
    <w:p w:rsidR="009E7BD4" w:rsidRDefault="009E7BD4" w:rsidP="0041195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E7BD4" w:rsidRDefault="009E7BD4" w:rsidP="0041195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11958" w:rsidRDefault="006C04B9" w:rsidP="00411958">
      <w:pPr>
        <w:tabs>
          <w:tab w:val="left" w:pos="0"/>
        </w:tabs>
        <w:ind w:firstLine="709"/>
        <w:jc w:val="both"/>
        <w:rPr>
          <w:sz w:val="28"/>
          <w:highlight w:val="yellow"/>
        </w:rPr>
      </w:pPr>
      <w:r w:rsidRPr="000F2993">
        <w:rPr>
          <w:sz w:val="28"/>
          <w:szCs w:val="28"/>
        </w:rPr>
        <w:lastRenderedPageBreak/>
        <w:t>По результатам экспертизы предлагаем направить проект изменений на утверждение с учётом указанной рекомендации.</w:t>
      </w:r>
    </w:p>
    <w:p w:rsidR="00411958" w:rsidRDefault="00411958" w:rsidP="00411958">
      <w:pPr>
        <w:tabs>
          <w:tab w:val="left" w:pos="0"/>
        </w:tabs>
        <w:ind w:firstLine="709"/>
        <w:jc w:val="both"/>
        <w:rPr>
          <w:sz w:val="28"/>
        </w:rPr>
      </w:pPr>
    </w:p>
    <w:p w:rsidR="00190075" w:rsidRDefault="00190075" w:rsidP="00411958">
      <w:pPr>
        <w:ind w:firstLine="709"/>
        <w:jc w:val="both"/>
        <w:rPr>
          <w:sz w:val="28"/>
        </w:rPr>
      </w:pPr>
    </w:p>
    <w:p w:rsidR="00411958" w:rsidRDefault="008335B3" w:rsidP="0041195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11958" w:rsidRDefault="00455F9D" w:rsidP="00411958">
      <w:pPr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        </w:t>
      </w:r>
      <w:r w:rsidR="008335B3">
        <w:rPr>
          <w:sz w:val="28"/>
        </w:rPr>
        <w:t xml:space="preserve">   </w:t>
      </w:r>
      <w:r>
        <w:rPr>
          <w:sz w:val="28"/>
        </w:rPr>
        <w:t>С.А. Гичкина</w:t>
      </w:r>
    </w:p>
    <w:p w:rsidR="00455F9D" w:rsidRDefault="00455F9D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190075" w:rsidRDefault="00190075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455F9D" w:rsidRDefault="00455F9D" w:rsidP="00411958">
      <w:pPr>
        <w:jc w:val="both"/>
        <w:rPr>
          <w:sz w:val="28"/>
        </w:rPr>
      </w:pPr>
    </w:p>
    <w:p w:rsidR="00455F9D" w:rsidRPr="00190075" w:rsidRDefault="00455F9D" w:rsidP="00411958">
      <w:pPr>
        <w:jc w:val="both"/>
        <w:rPr>
          <w:sz w:val="18"/>
          <w:szCs w:val="18"/>
        </w:rPr>
      </w:pPr>
      <w:r w:rsidRPr="00190075">
        <w:rPr>
          <w:sz w:val="18"/>
          <w:szCs w:val="18"/>
        </w:rPr>
        <w:t>Исполнитель:</w:t>
      </w:r>
    </w:p>
    <w:p w:rsidR="00455F9D" w:rsidRPr="00190075" w:rsidRDefault="00455F9D" w:rsidP="00411958">
      <w:pPr>
        <w:jc w:val="both"/>
        <w:rPr>
          <w:sz w:val="18"/>
          <w:szCs w:val="18"/>
        </w:rPr>
      </w:pPr>
      <w:r w:rsidRPr="00190075">
        <w:rPr>
          <w:sz w:val="18"/>
          <w:szCs w:val="18"/>
        </w:rPr>
        <w:t>Инспектор инспекторского отдела № 2</w:t>
      </w:r>
    </w:p>
    <w:p w:rsidR="00455F9D" w:rsidRPr="00190075" w:rsidRDefault="00455F9D" w:rsidP="00411958">
      <w:pPr>
        <w:jc w:val="both"/>
        <w:rPr>
          <w:sz w:val="18"/>
          <w:szCs w:val="18"/>
        </w:rPr>
      </w:pPr>
      <w:r w:rsidRPr="00190075">
        <w:rPr>
          <w:sz w:val="18"/>
          <w:szCs w:val="18"/>
        </w:rPr>
        <w:t>Счётной палаты города Нефтеюганска</w:t>
      </w:r>
    </w:p>
    <w:p w:rsidR="00455F9D" w:rsidRPr="00190075" w:rsidRDefault="00CC3AFB" w:rsidP="00411958">
      <w:pPr>
        <w:jc w:val="both"/>
        <w:rPr>
          <w:sz w:val="18"/>
          <w:szCs w:val="18"/>
        </w:rPr>
      </w:pPr>
      <w:r w:rsidRPr="00190075">
        <w:rPr>
          <w:sz w:val="18"/>
          <w:szCs w:val="18"/>
        </w:rPr>
        <w:t>Глазунова Галина Михайловна</w:t>
      </w:r>
    </w:p>
    <w:p w:rsidR="00455F9D" w:rsidRPr="00190075" w:rsidRDefault="00455F9D" w:rsidP="00411958">
      <w:pPr>
        <w:jc w:val="both"/>
        <w:rPr>
          <w:sz w:val="18"/>
          <w:szCs w:val="18"/>
          <w:lang w:val="en-US"/>
        </w:rPr>
      </w:pPr>
      <w:r w:rsidRPr="00190075">
        <w:rPr>
          <w:sz w:val="18"/>
          <w:szCs w:val="18"/>
        </w:rPr>
        <w:t>Тел. 8(3463)203</w:t>
      </w:r>
      <w:r w:rsidR="00CC3AFB" w:rsidRPr="00190075">
        <w:rPr>
          <w:sz w:val="18"/>
          <w:szCs w:val="18"/>
        </w:rPr>
        <w:t>065</w:t>
      </w:r>
    </w:p>
    <w:p w:rsidR="00411958" w:rsidRPr="005A4704" w:rsidRDefault="00411958" w:rsidP="00411958">
      <w:pPr>
        <w:tabs>
          <w:tab w:val="left" w:pos="0"/>
        </w:tabs>
        <w:ind w:firstLine="709"/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sectPr w:rsidR="001866F7" w:rsidRPr="005A4704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1B" w:rsidRDefault="00582E1B">
      <w:r>
        <w:separator/>
      </w:r>
    </w:p>
  </w:endnote>
  <w:endnote w:type="continuationSeparator" w:id="0">
    <w:p w:rsidR="00582E1B" w:rsidRDefault="0058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1B" w:rsidRDefault="00582E1B">
      <w:r>
        <w:separator/>
      </w:r>
    </w:p>
  </w:footnote>
  <w:footnote w:type="continuationSeparator" w:id="0">
    <w:p w:rsidR="00582E1B" w:rsidRDefault="0058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E928BC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1E605E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4BA8DE2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43236"/>
    <w:rsid w:val="0006192B"/>
    <w:rsid w:val="00061C60"/>
    <w:rsid w:val="00066861"/>
    <w:rsid w:val="0007428C"/>
    <w:rsid w:val="0007547B"/>
    <w:rsid w:val="00084CB3"/>
    <w:rsid w:val="000D5F8E"/>
    <w:rsid w:val="001058DF"/>
    <w:rsid w:val="00110FD5"/>
    <w:rsid w:val="001319D1"/>
    <w:rsid w:val="001662BE"/>
    <w:rsid w:val="00172A27"/>
    <w:rsid w:val="0017770C"/>
    <w:rsid w:val="001866F7"/>
    <w:rsid w:val="00190075"/>
    <w:rsid w:val="00194496"/>
    <w:rsid w:val="001E605E"/>
    <w:rsid w:val="00255A59"/>
    <w:rsid w:val="00255D6B"/>
    <w:rsid w:val="002623E7"/>
    <w:rsid w:val="00283ACF"/>
    <w:rsid w:val="00292632"/>
    <w:rsid w:val="002B4C35"/>
    <w:rsid w:val="002B768B"/>
    <w:rsid w:val="002C5957"/>
    <w:rsid w:val="002E73C1"/>
    <w:rsid w:val="00300BE1"/>
    <w:rsid w:val="00302F5B"/>
    <w:rsid w:val="00307F21"/>
    <w:rsid w:val="00330BF2"/>
    <w:rsid w:val="003378C7"/>
    <w:rsid w:val="00376C84"/>
    <w:rsid w:val="003B6219"/>
    <w:rsid w:val="003C3B88"/>
    <w:rsid w:val="003C3FFD"/>
    <w:rsid w:val="003D45F3"/>
    <w:rsid w:val="003E5290"/>
    <w:rsid w:val="003E5724"/>
    <w:rsid w:val="00403978"/>
    <w:rsid w:val="00411958"/>
    <w:rsid w:val="0041652A"/>
    <w:rsid w:val="00450A3A"/>
    <w:rsid w:val="00455F9D"/>
    <w:rsid w:val="00462BA0"/>
    <w:rsid w:val="00483E20"/>
    <w:rsid w:val="00486C6D"/>
    <w:rsid w:val="004A4239"/>
    <w:rsid w:val="005073D3"/>
    <w:rsid w:val="0054135D"/>
    <w:rsid w:val="00582E1B"/>
    <w:rsid w:val="005904A4"/>
    <w:rsid w:val="005A4704"/>
    <w:rsid w:val="006154A0"/>
    <w:rsid w:val="00671B5A"/>
    <w:rsid w:val="00674B8E"/>
    <w:rsid w:val="00674DE0"/>
    <w:rsid w:val="006C04B9"/>
    <w:rsid w:val="00721A74"/>
    <w:rsid w:val="007317DE"/>
    <w:rsid w:val="00735211"/>
    <w:rsid w:val="0075508D"/>
    <w:rsid w:val="00771DC5"/>
    <w:rsid w:val="00786CEB"/>
    <w:rsid w:val="00790D57"/>
    <w:rsid w:val="00795456"/>
    <w:rsid w:val="007A6C4B"/>
    <w:rsid w:val="007B58E8"/>
    <w:rsid w:val="007C7BD7"/>
    <w:rsid w:val="00800090"/>
    <w:rsid w:val="0080128F"/>
    <w:rsid w:val="00801BCC"/>
    <w:rsid w:val="00805614"/>
    <w:rsid w:val="00805908"/>
    <w:rsid w:val="00817588"/>
    <w:rsid w:val="00827860"/>
    <w:rsid w:val="008335B3"/>
    <w:rsid w:val="0085264A"/>
    <w:rsid w:val="008638AC"/>
    <w:rsid w:val="00881315"/>
    <w:rsid w:val="008975FB"/>
    <w:rsid w:val="008A1231"/>
    <w:rsid w:val="008C1785"/>
    <w:rsid w:val="008D2378"/>
    <w:rsid w:val="00975A0E"/>
    <w:rsid w:val="009B224B"/>
    <w:rsid w:val="009B4F69"/>
    <w:rsid w:val="009C36D7"/>
    <w:rsid w:val="009D3A59"/>
    <w:rsid w:val="009E7BD4"/>
    <w:rsid w:val="00A1733B"/>
    <w:rsid w:val="00A25EEB"/>
    <w:rsid w:val="00A8677C"/>
    <w:rsid w:val="00A90245"/>
    <w:rsid w:val="00AC61D3"/>
    <w:rsid w:val="00AD611C"/>
    <w:rsid w:val="00AE1BFC"/>
    <w:rsid w:val="00AF71DC"/>
    <w:rsid w:val="00B06E84"/>
    <w:rsid w:val="00B42077"/>
    <w:rsid w:val="00B505FE"/>
    <w:rsid w:val="00B92D36"/>
    <w:rsid w:val="00BA6B76"/>
    <w:rsid w:val="00BC52C5"/>
    <w:rsid w:val="00BD10D2"/>
    <w:rsid w:val="00BF4A05"/>
    <w:rsid w:val="00C16D81"/>
    <w:rsid w:val="00C47B1F"/>
    <w:rsid w:val="00C54776"/>
    <w:rsid w:val="00C67276"/>
    <w:rsid w:val="00C844F3"/>
    <w:rsid w:val="00CB23C6"/>
    <w:rsid w:val="00CB66F3"/>
    <w:rsid w:val="00CC3AFB"/>
    <w:rsid w:val="00CD0341"/>
    <w:rsid w:val="00CD4F9A"/>
    <w:rsid w:val="00CF6C9F"/>
    <w:rsid w:val="00D01162"/>
    <w:rsid w:val="00D06B34"/>
    <w:rsid w:val="00D535B4"/>
    <w:rsid w:val="00D55BF1"/>
    <w:rsid w:val="00D631D3"/>
    <w:rsid w:val="00D648AD"/>
    <w:rsid w:val="00DA3F03"/>
    <w:rsid w:val="00DC0B9D"/>
    <w:rsid w:val="00DC11E6"/>
    <w:rsid w:val="00DD496F"/>
    <w:rsid w:val="00E0224B"/>
    <w:rsid w:val="00E30EB6"/>
    <w:rsid w:val="00E41445"/>
    <w:rsid w:val="00E60365"/>
    <w:rsid w:val="00E676F8"/>
    <w:rsid w:val="00E67A28"/>
    <w:rsid w:val="00E7550C"/>
    <w:rsid w:val="00E928BC"/>
    <w:rsid w:val="00F2110F"/>
    <w:rsid w:val="00F24994"/>
    <w:rsid w:val="00F4725B"/>
    <w:rsid w:val="00F655AE"/>
    <w:rsid w:val="00F9313D"/>
    <w:rsid w:val="00FB42D6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3065"/>
  <w15:docId w15:val="{663EBC49-FD3C-4D38-B651-4664D3D2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4A4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5904A4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5904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5904A4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5904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5904A4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904A4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5904A4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5904A4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5904A4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5904A4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5904A4"/>
    <w:rPr>
      <w:i/>
      <w:sz w:val="20"/>
    </w:rPr>
  </w:style>
  <w:style w:type="paragraph" w:styleId="10">
    <w:name w:val="toc 1"/>
    <w:next w:val="a"/>
    <w:uiPriority w:val="39"/>
    <w:qFormat/>
    <w:rsid w:val="005904A4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5904A4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5904A4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5904A4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5904A4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5904A4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5904A4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5904A4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5904A4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5904A4"/>
    <w:rPr>
      <w:color w:val="0000FF"/>
      <w:u w:val="single"/>
    </w:rPr>
  </w:style>
  <w:style w:type="paragraph" w:styleId="aa">
    <w:name w:val="List Paragraph"/>
    <w:basedOn w:val="a"/>
    <w:qFormat/>
    <w:rsid w:val="005904A4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5904A4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5904A4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5904A4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5904A4"/>
  </w:style>
  <w:style w:type="paragraph" w:customStyle="1" w:styleId="s10">
    <w:name w:val="s_10"/>
    <w:link w:val="s101"/>
    <w:rsid w:val="005904A4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5904A4"/>
  </w:style>
  <w:style w:type="paragraph" w:customStyle="1" w:styleId="Footnote">
    <w:name w:val="Footnote"/>
    <w:link w:val="Footnote1"/>
    <w:qFormat/>
    <w:rsid w:val="005904A4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5904A4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5904A4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5904A4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5904A4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59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15</cp:revision>
  <cp:lastPrinted>2021-02-08T06:11:00Z</cp:lastPrinted>
  <dcterms:created xsi:type="dcterms:W3CDTF">2020-12-17T10:43:00Z</dcterms:created>
  <dcterms:modified xsi:type="dcterms:W3CDTF">2021-03-17T11:08:00Z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