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 wp14:anchorId="72EB3A3D" wp14:editId="4526256E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>Ханты-Мансийский автономный округ - Юг</w:t>
      </w:r>
      <w:r w:rsidR="00BD1AB1">
        <w:rPr>
          <w:b/>
          <w:sz w:val="18"/>
        </w:rPr>
        <w:t>ра (Тюменская область), 628310</w:t>
      </w: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тел./факс (3463) 20-30-55, 20-30-63 E-mail: </w:t>
      </w:r>
      <w:hyperlink r:id="rId10" w:history="1">
        <w:r>
          <w:rPr>
            <w:b/>
            <w:color w:val="0000FF"/>
            <w:sz w:val="18"/>
            <w:u w:val="single"/>
          </w:rPr>
          <w:t>sp-ugansk@mail.ru</w:t>
        </w:r>
      </w:hyperlink>
      <w:hyperlink r:id="rId11" w:history="1">
        <w:r>
          <w:rPr>
            <w:rStyle w:val="a9"/>
            <w:b/>
            <w:sz w:val="18"/>
          </w:rPr>
          <w:t>www.admugansk.ru</w:t>
        </w:r>
      </w:hyperlink>
    </w:p>
    <w:p w:rsidR="00C47B1F" w:rsidRDefault="001967F7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376BCC2" wp14:editId="5D344979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41C571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9F38F7C" wp14:editId="4FD44A6F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C2979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9437" w:type="dxa"/>
        <w:tblLayout w:type="fixed"/>
        <w:tblLook w:val="04A0" w:firstRow="1" w:lastRow="0" w:firstColumn="1" w:lastColumn="0" w:noHBand="0" w:noVBand="1"/>
      </w:tblPr>
      <w:tblGrid>
        <w:gridCol w:w="4367"/>
        <w:gridCol w:w="5070"/>
      </w:tblGrid>
      <w:tr w:rsidR="00273688" w:rsidTr="0029372E">
        <w:trPr>
          <w:trHeight w:val="765"/>
        </w:trPr>
        <w:tc>
          <w:tcPr>
            <w:tcW w:w="4367" w:type="dxa"/>
          </w:tcPr>
          <w:p w:rsidR="00273688" w:rsidRPr="0029372E" w:rsidRDefault="00273688" w:rsidP="00822A64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Исх. № СП-</w:t>
            </w:r>
            <w:r w:rsidR="00E369A6">
              <w:rPr>
                <w:sz w:val="28"/>
              </w:rPr>
              <w:t>64</w:t>
            </w:r>
            <w:r w:rsidR="00EB30A4">
              <w:rPr>
                <w:sz w:val="28"/>
              </w:rPr>
              <w:t>-1</w:t>
            </w:r>
            <w:r w:rsidR="0029372E">
              <w:rPr>
                <w:sz w:val="28"/>
              </w:rPr>
              <w:t xml:space="preserve"> </w:t>
            </w:r>
            <w:r w:rsidR="00A2615A">
              <w:rPr>
                <w:sz w:val="28"/>
              </w:rPr>
              <w:t>от 01.03</w:t>
            </w:r>
            <w:r w:rsidR="00EB30A4">
              <w:rPr>
                <w:sz w:val="28"/>
              </w:rPr>
              <w:t>.2021</w:t>
            </w:r>
          </w:p>
        </w:tc>
        <w:tc>
          <w:tcPr>
            <w:tcW w:w="5070" w:type="dxa"/>
          </w:tcPr>
          <w:p w:rsidR="00273688" w:rsidRDefault="00273688" w:rsidP="00EB30A4">
            <w:pPr>
              <w:ind w:left="736"/>
              <w:rPr>
                <w:sz w:val="28"/>
              </w:rPr>
            </w:pPr>
          </w:p>
        </w:tc>
      </w:tr>
    </w:tbl>
    <w:p w:rsidR="00C47B1F" w:rsidRDefault="00C47B1F">
      <w:pPr>
        <w:jc w:val="center"/>
        <w:rPr>
          <w:b/>
          <w:sz w:val="28"/>
        </w:rPr>
      </w:pPr>
    </w:p>
    <w:p w:rsidR="00C47B1F" w:rsidRDefault="00C47B1F" w:rsidP="003B4572">
      <w:pPr>
        <w:spacing w:line="276" w:lineRule="auto"/>
        <w:jc w:val="center"/>
        <w:rPr>
          <w:b/>
          <w:sz w:val="28"/>
        </w:rPr>
      </w:pPr>
    </w:p>
    <w:p w:rsidR="00C47B1F" w:rsidRDefault="00D55BF1" w:rsidP="00076482">
      <w:pPr>
        <w:jc w:val="center"/>
        <w:rPr>
          <w:sz w:val="28"/>
        </w:rPr>
      </w:pPr>
      <w:r>
        <w:rPr>
          <w:b/>
          <w:sz w:val="28"/>
        </w:rPr>
        <w:t>Заключение на проект изменений в муниципальную программу</w:t>
      </w:r>
    </w:p>
    <w:p w:rsidR="00C47B1F" w:rsidRDefault="00D55BF1" w:rsidP="00076482">
      <w:pPr>
        <w:jc w:val="center"/>
        <w:rPr>
          <w:b/>
          <w:sz w:val="28"/>
        </w:rPr>
      </w:pPr>
      <w:r>
        <w:rPr>
          <w:b/>
          <w:sz w:val="28"/>
        </w:rPr>
        <w:t>«Развитие жилищной сферы города Нефтеюганска»</w:t>
      </w:r>
    </w:p>
    <w:p w:rsidR="00076482" w:rsidRDefault="00076482" w:rsidP="00076482">
      <w:pPr>
        <w:jc w:val="center"/>
        <w:rPr>
          <w:b/>
          <w:sz w:val="28"/>
        </w:rPr>
      </w:pPr>
    </w:p>
    <w:p w:rsidR="00076482" w:rsidRPr="00076482" w:rsidRDefault="00076482" w:rsidP="00076482">
      <w:pPr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076482">
        <w:rPr>
          <w:rFonts w:eastAsia="Times New Roman" w:cs="Times New Roman"/>
          <w:color w:val="auto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города Нефтеюганска «Развитие </w:t>
      </w:r>
      <w:r>
        <w:rPr>
          <w:rFonts w:eastAsia="Times New Roman" w:cs="Times New Roman"/>
          <w:color w:val="auto"/>
          <w:sz w:val="28"/>
          <w:szCs w:val="28"/>
        </w:rPr>
        <w:t>жилищной сферы</w:t>
      </w:r>
      <w:r w:rsidRPr="00076482">
        <w:rPr>
          <w:rFonts w:eastAsia="Times New Roman" w:cs="Times New Roman"/>
          <w:color w:val="auto"/>
          <w:sz w:val="28"/>
          <w:szCs w:val="28"/>
        </w:rPr>
        <w:t xml:space="preserve"> в городе Нефтеюганске» (далее по тексту – проект изменений), сообщает следующее:</w:t>
      </w:r>
    </w:p>
    <w:p w:rsidR="00076482" w:rsidRPr="00076482" w:rsidRDefault="00076482" w:rsidP="00076482">
      <w:pPr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076482">
        <w:rPr>
          <w:rFonts w:eastAsia="Times New Roman" w:cs="Times New Roman"/>
          <w:color w:val="auto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076482" w:rsidRPr="00076482" w:rsidRDefault="00076482" w:rsidP="00076482">
      <w:pPr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076482">
        <w:rPr>
          <w:rFonts w:eastAsia="Times New Roman" w:cs="Times New Roman"/>
          <w:color w:val="auto"/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076482" w:rsidRPr="00076482" w:rsidRDefault="00076482" w:rsidP="00076482">
      <w:pPr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076482">
        <w:rPr>
          <w:rFonts w:eastAsia="Times New Roman" w:cs="Times New Roman"/>
          <w:color w:val="auto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076482" w:rsidRPr="00076482" w:rsidRDefault="00076482" w:rsidP="0066527F">
      <w:pPr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076482">
        <w:rPr>
          <w:rFonts w:eastAsia="Times New Roman" w:cs="Times New Roman"/>
          <w:color w:val="auto"/>
          <w:sz w:val="28"/>
          <w:szCs w:val="28"/>
        </w:rPr>
        <w:t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77-нп):</w:t>
      </w:r>
    </w:p>
    <w:p w:rsidR="00076482" w:rsidRPr="00076482" w:rsidRDefault="00076482" w:rsidP="0066527F">
      <w:pPr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076482">
        <w:rPr>
          <w:rFonts w:eastAsia="Times New Roman" w:cs="Times New Roman"/>
          <w:color w:val="auto"/>
          <w:sz w:val="28"/>
          <w:szCs w:val="28"/>
        </w:rPr>
        <w:t>- программных мероприятий целям муниципальной программы;</w:t>
      </w:r>
    </w:p>
    <w:p w:rsidR="00076482" w:rsidRPr="00076482" w:rsidRDefault="00076482" w:rsidP="0066527F">
      <w:pPr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076482">
        <w:rPr>
          <w:rFonts w:eastAsia="Times New Roman" w:cs="Times New Roman"/>
          <w:color w:val="auto"/>
          <w:sz w:val="28"/>
          <w:szCs w:val="28"/>
        </w:rPr>
        <w:t>- сроков реализации муниципальной программы задачам;</w:t>
      </w:r>
    </w:p>
    <w:p w:rsidR="00076482" w:rsidRPr="00076482" w:rsidRDefault="00076482" w:rsidP="0066527F">
      <w:pPr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076482">
        <w:rPr>
          <w:rFonts w:eastAsia="Times New Roman" w:cs="Times New Roman"/>
          <w:color w:val="auto"/>
          <w:sz w:val="28"/>
          <w:szCs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076482" w:rsidRDefault="00076482" w:rsidP="0066527F">
      <w:pPr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076482">
        <w:rPr>
          <w:rFonts w:eastAsia="Times New Roman" w:cs="Times New Roman"/>
          <w:color w:val="auto"/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094386" w:rsidRDefault="00076482" w:rsidP="00C678B2">
      <w:pPr>
        <w:tabs>
          <w:tab w:val="left" w:pos="0"/>
        </w:tabs>
        <w:ind w:firstLine="567"/>
        <w:jc w:val="both"/>
        <w:rPr>
          <w:rFonts w:eastAsia="Times New Roman" w:cs="Times New Roman"/>
          <w:color w:val="auto"/>
          <w:sz w:val="28"/>
          <w:szCs w:val="24"/>
        </w:rPr>
      </w:pPr>
      <w:r w:rsidRPr="00076482">
        <w:rPr>
          <w:rFonts w:eastAsia="Times New Roman" w:cs="Times New Roman"/>
          <w:color w:val="auto"/>
          <w:sz w:val="28"/>
          <w:szCs w:val="28"/>
        </w:rPr>
        <w:lastRenderedPageBreak/>
        <w:t xml:space="preserve">2. Представленный проект изменений соответствует Порядку </w:t>
      </w:r>
      <w:r w:rsidR="002C22F0">
        <w:rPr>
          <w:rFonts w:eastAsia="Times New Roman" w:cs="Times New Roman"/>
          <w:color w:val="auto"/>
          <w:sz w:val="28"/>
          <w:szCs w:val="28"/>
        </w:rPr>
        <w:t>от 18.04.2019 № 77-нп.</w:t>
      </w:r>
    </w:p>
    <w:p w:rsidR="006F7A48" w:rsidRDefault="00076482" w:rsidP="006F7A48">
      <w:pPr>
        <w:tabs>
          <w:tab w:val="left" w:pos="0"/>
        </w:tabs>
        <w:ind w:firstLine="709"/>
        <w:jc w:val="both"/>
        <w:rPr>
          <w:sz w:val="28"/>
        </w:rPr>
      </w:pPr>
      <w:r w:rsidRPr="00076482">
        <w:rPr>
          <w:rFonts w:eastAsia="Times New Roman" w:cs="Times New Roman"/>
          <w:color w:val="auto"/>
          <w:sz w:val="28"/>
          <w:szCs w:val="24"/>
        </w:rPr>
        <w:t>3.</w:t>
      </w:r>
      <w:r w:rsidR="006F7A48">
        <w:rPr>
          <w:rFonts w:eastAsia="Times New Roman" w:cs="Times New Roman"/>
          <w:color w:val="auto"/>
          <w:sz w:val="28"/>
          <w:szCs w:val="24"/>
        </w:rPr>
        <w:t xml:space="preserve"> </w:t>
      </w:r>
      <w:r w:rsidR="006F7A48" w:rsidRPr="00844D55">
        <w:rPr>
          <w:sz w:val="28"/>
        </w:rPr>
        <w:t>Проектом изменений планируется</w:t>
      </w:r>
      <w:r w:rsidR="006F7A48">
        <w:rPr>
          <w:sz w:val="28"/>
        </w:rPr>
        <w:t>:</w:t>
      </w:r>
    </w:p>
    <w:p w:rsidR="007B5C0E" w:rsidRPr="00084CB3" w:rsidRDefault="00E63F7E" w:rsidP="007B5C0E">
      <w:pPr>
        <w:widowControl w:val="0"/>
        <w:ind w:firstLine="708"/>
        <w:jc w:val="both"/>
        <w:rPr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3.1. </w:t>
      </w:r>
      <w:r w:rsidR="007B5C0E" w:rsidRPr="00084CB3">
        <w:rPr>
          <w:sz w:val="28"/>
          <w:szCs w:val="28"/>
        </w:rPr>
        <w:t xml:space="preserve">В паспорте </w:t>
      </w:r>
      <w:r w:rsidR="007B5C0E">
        <w:rPr>
          <w:sz w:val="28"/>
          <w:szCs w:val="28"/>
        </w:rPr>
        <w:t xml:space="preserve">муниципальной программы </w:t>
      </w:r>
      <w:r w:rsidR="007B5C0E" w:rsidRPr="00084CB3">
        <w:rPr>
          <w:sz w:val="28"/>
          <w:szCs w:val="28"/>
        </w:rPr>
        <w:t>строку «Параметры финансового обеспечения муниципальной программы» изло</w:t>
      </w:r>
      <w:r w:rsidR="007B5C0E">
        <w:rPr>
          <w:sz w:val="28"/>
          <w:szCs w:val="28"/>
        </w:rPr>
        <w:t xml:space="preserve">жить в новой редакции, </w:t>
      </w:r>
      <w:r w:rsidR="0051343C" w:rsidRPr="0051343C">
        <w:rPr>
          <w:rFonts w:eastAsia="Times New Roman" w:cs="Times New Roman"/>
          <w:color w:val="auto"/>
          <w:sz w:val="28"/>
          <w:szCs w:val="24"/>
        </w:rPr>
        <w:t>а именно</w:t>
      </w:r>
      <w:r w:rsidR="0051343C" w:rsidRPr="0051343C">
        <w:rPr>
          <w:rFonts w:eastAsia="Times New Roman" w:cs="Times New Roman"/>
          <w:color w:val="auto"/>
          <w:sz w:val="28"/>
          <w:szCs w:val="28"/>
        </w:rPr>
        <w:t xml:space="preserve"> увеличить</w:t>
      </w:r>
      <w:r w:rsidR="007B5C0E">
        <w:rPr>
          <w:sz w:val="28"/>
          <w:szCs w:val="28"/>
        </w:rPr>
        <w:t xml:space="preserve"> </w:t>
      </w:r>
      <w:r w:rsidR="007B5C0E" w:rsidRPr="00084CB3">
        <w:rPr>
          <w:sz w:val="28"/>
          <w:szCs w:val="28"/>
        </w:rPr>
        <w:t xml:space="preserve">общий объём финансирования </w:t>
      </w:r>
      <w:r w:rsidR="007B5C0E">
        <w:rPr>
          <w:sz w:val="28"/>
          <w:szCs w:val="28"/>
        </w:rPr>
        <w:t xml:space="preserve">за счёт средств местного бюджета </w:t>
      </w:r>
      <w:r w:rsidR="007B5C0E" w:rsidRPr="00084CB3">
        <w:rPr>
          <w:sz w:val="28"/>
          <w:szCs w:val="28"/>
        </w:rPr>
        <w:t xml:space="preserve">на </w:t>
      </w:r>
      <w:r w:rsidR="007B5C0E">
        <w:rPr>
          <w:rFonts w:eastAsia="Times New Roman" w:cs="Times New Roman"/>
          <w:color w:val="auto"/>
          <w:sz w:val="28"/>
          <w:szCs w:val="28"/>
        </w:rPr>
        <w:t>1 367,92</w:t>
      </w:r>
      <w:r w:rsidR="007B5C0E" w:rsidRPr="00E63F7E">
        <w:rPr>
          <w:rFonts w:eastAsia="Times New Roman" w:cs="Times New Roman"/>
          <w:color w:val="auto"/>
          <w:sz w:val="28"/>
          <w:szCs w:val="28"/>
        </w:rPr>
        <w:t xml:space="preserve">0 </w:t>
      </w:r>
      <w:r w:rsidR="007B5C0E" w:rsidRPr="00084CB3">
        <w:rPr>
          <w:sz w:val="28"/>
          <w:szCs w:val="28"/>
        </w:rPr>
        <w:t>тыс. рублей</w:t>
      </w:r>
      <w:r w:rsidR="007B5C0E">
        <w:rPr>
          <w:sz w:val="28"/>
          <w:szCs w:val="28"/>
        </w:rPr>
        <w:t>, в том числе в:</w:t>
      </w:r>
    </w:p>
    <w:p w:rsidR="00951FE3" w:rsidRPr="00F02231" w:rsidRDefault="00951FE3" w:rsidP="00951FE3">
      <w:pPr>
        <w:ind w:firstLine="708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-2021 год</w:t>
      </w:r>
      <w:r w:rsidR="007B5C0E">
        <w:rPr>
          <w:rFonts w:eastAsia="Times New Roman" w:cs="Times New Roman"/>
          <w:color w:val="auto"/>
          <w:sz w:val="28"/>
          <w:szCs w:val="28"/>
        </w:rPr>
        <w:t>у</w:t>
      </w:r>
      <w:r>
        <w:rPr>
          <w:rFonts w:eastAsia="Times New Roman" w:cs="Times New Roman"/>
          <w:color w:val="auto"/>
          <w:sz w:val="28"/>
          <w:szCs w:val="28"/>
        </w:rPr>
        <w:t xml:space="preserve"> увеличить на</w:t>
      </w:r>
      <w:r w:rsidRPr="00F02231">
        <w:rPr>
          <w:rFonts w:eastAsia="Times New Roman" w:cs="Times New Roman"/>
          <w:color w:val="auto"/>
          <w:sz w:val="28"/>
          <w:szCs w:val="28"/>
        </w:rPr>
        <w:t xml:space="preserve"> </w:t>
      </w:r>
      <w:r w:rsidR="00DD2F46">
        <w:rPr>
          <w:rFonts w:eastAsia="Times New Roman" w:cs="Times New Roman"/>
          <w:color w:val="auto"/>
          <w:sz w:val="28"/>
          <w:szCs w:val="28"/>
        </w:rPr>
        <w:t>2 051,920</w:t>
      </w:r>
      <w:r>
        <w:rPr>
          <w:rFonts w:eastAsia="Times New Roman" w:cs="Times New Roman"/>
          <w:color w:val="auto"/>
          <w:sz w:val="28"/>
          <w:szCs w:val="28"/>
        </w:rPr>
        <w:t xml:space="preserve"> </w:t>
      </w:r>
      <w:r w:rsidRPr="00F02231">
        <w:rPr>
          <w:rFonts w:eastAsia="Times New Roman" w:cs="Times New Roman"/>
          <w:color w:val="auto"/>
          <w:sz w:val="28"/>
          <w:szCs w:val="28"/>
        </w:rPr>
        <w:t xml:space="preserve">тыс. рублей; </w:t>
      </w:r>
    </w:p>
    <w:p w:rsidR="00951FE3" w:rsidRPr="00F02231" w:rsidRDefault="00951FE3" w:rsidP="00951FE3">
      <w:pPr>
        <w:ind w:firstLine="708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-2022</w:t>
      </w:r>
      <w:r w:rsidRPr="00F02231">
        <w:rPr>
          <w:rFonts w:eastAsia="Times New Roman" w:cs="Times New Roman"/>
          <w:color w:val="auto"/>
          <w:sz w:val="28"/>
          <w:szCs w:val="28"/>
        </w:rPr>
        <w:t xml:space="preserve"> год</w:t>
      </w:r>
      <w:r w:rsidR="007B5C0E">
        <w:rPr>
          <w:rFonts w:eastAsia="Times New Roman" w:cs="Times New Roman"/>
          <w:color w:val="auto"/>
          <w:sz w:val="28"/>
          <w:szCs w:val="28"/>
        </w:rPr>
        <w:t>у</w:t>
      </w:r>
      <w:r w:rsidRPr="00F02231">
        <w:rPr>
          <w:rFonts w:eastAsia="Times New Roman" w:cs="Times New Roman"/>
          <w:color w:val="auto"/>
          <w:sz w:val="28"/>
          <w:szCs w:val="28"/>
        </w:rPr>
        <w:t xml:space="preserve"> </w:t>
      </w:r>
      <w:r>
        <w:rPr>
          <w:rFonts w:eastAsia="Times New Roman" w:cs="Times New Roman"/>
          <w:color w:val="auto"/>
          <w:sz w:val="28"/>
          <w:szCs w:val="28"/>
        </w:rPr>
        <w:t>уменьшить на 76,000</w:t>
      </w:r>
      <w:r w:rsidRPr="00F02231">
        <w:rPr>
          <w:rFonts w:eastAsia="Times New Roman" w:cs="Times New Roman"/>
          <w:color w:val="auto"/>
          <w:sz w:val="28"/>
          <w:szCs w:val="28"/>
        </w:rPr>
        <w:t xml:space="preserve"> тыс. рублей;</w:t>
      </w:r>
    </w:p>
    <w:p w:rsidR="00951FE3" w:rsidRDefault="00951FE3" w:rsidP="00951FE3">
      <w:pPr>
        <w:ind w:firstLine="708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-2023 год</w:t>
      </w:r>
      <w:r w:rsidR="007B5C0E">
        <w:rPr>
          <w:rFonts w:eastAsia="Times New Roman" w:cs="Times New Roman"/>
          <w:color w:val="auto"/>
          <w:sz w:val="28"/>
          <w:szCs w:val="28"/>
        </w:rPr>
        <w:t>у</w:t>
      </w:r>
      <w:r>
        <w:rPr>
          <w:rFonts w:eastAsia="Times New Roman" w:cs="Times New Roman"/>
          <w:color w:val="auto"/>
          <w:sz w:val="28"/>
          <w:szCs w:val="28"/>
        </w:rPr>
        <w:t xml:space="preserve"> </w:t>
      </w:r>
      <w:r w:rsidR="0082236E">
        <w:rPr>
          <w:rFonts w:eastAsia="Times New Roman" w:cs="Times New Roman"/>
          <w:color w:val="auto"/>
          <w:sz w:val="28"/>
          <w:szCs w:val="28"/>
        </w:rPr>
        <w:t xml:space="preserve">уменьшить </w:t>
      </w:r>
      <w:r>
        <w:rPr>
          <w:rFonts w:eastAsia="Times New Roman" w:cs="Times New Roman"/>
          <w:color w:val="auto"/>
          <w:sz w:val="28"/>
          <w:szCs w:val="28"/>
        </w:rPr>
        <w:t>на 76,000</w:t>
      </w:r>
      <w:r w:rsidR="0082236E">
        <w:rPr>
          <w:rFonts w:eastAsia="Times New Roman" w:cs="Times New Roman"/>
          <w:color w:val="auto"/>
          <w:sz w:val="28"/>
          <w:szCs w:val="28"/>
        </w:rPr>
        <w:t xml:space="preserve"> тыс. рублей;</w:t>
      </w:r>
    </w:p>
    <w:p w:rsidR="00951FE3" w:rsidRPr="00F02231" w:rsidRDefault="00951FE3" w:rsidP="00951FE3">
      <w:pPr>
        <w:ind w:firstLine="708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-2024 год</w:t>
      </w:r>
      <w:r w:rsidR="007B5C0E">
        <w:rPr>
          <w:rFonts w:eastAsia="Times New Roman" w:cs="Times New Roman"/>
          <w:color w:val="auto"/>
          <w:sz w:val="28"/>
          <w:szCs w:val="28"/>
        </w:rPr>
        <w:t>у</w:t>
      </w:r>
      <w:r>
        <w:rPr>
          <w:rFonts w:eastAsia="Times New Roman" w:cs="Times New Roman"/>
          <w:color w:val="auto"/>
          <w:sz w:val="28"/>
          <w:szCs w:val="28"/>
        </w:rPr>
        <w:t xml:space="preserve"> </w:t>
      </w:r>
      <w:r w:rsidR="0082236E">
        <w:rPr>
          <w:rFonts w:eastAsia="Times New Roman" w:cs="Times New Roman"/>
          <w:color w:val="auto"/>
          <w:sz w:val="28"/>
          <w:szCs w:val="28"/>
        </w:rPr>
        <w:t xml:space="preserve">уменьшить </w:t>
      </w:r>
      <w:r>
        <w:rPr>
          <w:rFonts w:eastAsia="Times New Roman" w:cs="Times New Roman"/>
          <w:color w:val="auto"/>
          <w:sz w:val="28"/>
          <w:szCs w:val="28"/>
        </w:rPr>
        <w:t>на 76,000</w:t>
      </w:r>
      <w:r w:rsidRPr="00F02231">
        <w:rPr>
          <w:rFonts w:eastAsia="Times New Roman" w:cs="Times New Roman"/>
          <w:color w:val="auto"/>
          <w:sz w:val="28"/>
          <w:szCs w:val="28"/>
        </w:rPr>
        <w:t xml:space="preserve"> тыс. рублей;</w:t>
      </w:r>
    </w:p>
    <w:p w:rsidR="00951FE3" w:rsidRDefault="00951FE3" w:rsidP="00951FE3">
      <w:pPr>
        <w:ind w:firstLine="708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>-2025 – 2030 год</w:t>
      </w:r>
      <w:r w:rsidR="0082236E">
        <w:rPr>
          <w:rFonts w:eastAsia="Times New Roman" w:cs="Times New Roman"/>
          <w:color w:val="auto"/>
          <w:sz w:val="28"/>
          <w:szCs w:val="28"/>
        </w:rPr>
        <w:t>ы</w:t>
      </w:r>
      <w:r>
        <w:rPr>
          <w:rFonts w:eastAsia="Times New Roman" w:cs="Times New Roman"/>
          <w:color w:val="auto"/>
          <w:sz w:val="28"/>
          <w:szCs w:val="28"/>
        </w:rPr>
        <w:t xml:space="preserve"> уменьшить на 456,000</w:t>
      </w:r>
      <w:r w:rsidRPr="00F02231">
        <w:rPr>
          <w:rFonts w:eastAsia="Times New Roman" w:cs="Times New Roman"/>
          <w:color w:val="auto"/>
          <w:sz w:val="28"/>
          <w:szCs w:val="28"/>
        </w:rPr>
        <w:t xml:space="preserve"> тыс. рублей</w:t>
      </w:r>
      <w:r w:rsidR="0082236E">
        <w:rPr>
          <w:rFonts w:eastAsia="Times New Roman" w:cs="Times New Roman"/>
          <w:color w:val="auto"/>
          <w:sz w:val="28"/>
          <w:szCs w:val="28"/>
        </w:rPr>
        <w:t>.</w:t>
      </w:r>
    </w:p>
    <w:p w:rsidR="00B57381" w:rsidRDefault="00B57381" w:rsidP="00B57381">
      <w:pPr>
        <w:ind w:firstLine="709"/>
        <w:jc w:val="both"/>
        <w:rPr>
          <w:bCs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3.2. </w:t>
      </w:r>
      <w:r w:rsidR="00A2615A">
        <w:rPr>
          <w:rFonts w:eastAsia="Times New Roman" w:cs="Times New Roman"/>
          <w:color w:val="auto"/>
          <w:sz w:val="28"/>
          <w:szCs w:val="28"/>
        </w:rPr>
        <w:t xml:space="preserve">В таблице 1 «Целевые показатели муниципальной программы» </w:t>
      </w:r>
      <w:r w:rsidRPr="00E72093">
        <w:rPr>
          <w:rFonts w:eastAsia="Times New Roman" w:cs="Times New Roman"/>
          <w:color w:val="auto"/>
          <w:sz w:val="28"/>
        </w:rPr>
        <w:t>пока</w:t>
      </w:r>
      <w:r w:rsidRPr="006F7A48">
        <w:rPr>
          <w:rFonts w:eastAsia="Times New Roman" w:cs="Times New Roman"/>
          <w:color w:val="auto"/>
          <w:sz w:val="28"/>
        </w:rPr>
        <w:t>затель</w:t>
      </w:r>
      <w:r w:rsidR="00A2615A">
        <w:rPr>
          <w:rFonts w:eastAsia="Times New Roman" w:cs="Times New Roman"/>
          <w:color w:val="auto"/>
          <w:sz w:val="28"/>
        </w:rPr>
        <w:t xml:space="preserve"> 7.2</w:t>
      </w:r>
      <w:r w:rsidRPr="006F7A48">
        <w:rPr>
          <w:rFonts w:eastAsia="Times New Roman" w:cs="Times New Roman"/>
          <w:color w:val="auto"/>
          <w:sz w:val="28"/>
        </w:rPr>
        <w:t xml:space="preserve"> </w:t>
      </w:r>
      <w:r w:rsidRPr="006F7A48">
        <w:rPr>
          <w:color w:val="auto"/>
          <w:sz w:val="28"/>
        </w:rPr>
        <w:t>«Количество ликвидированных строений, приспособленных для проживания, строений»</w:t>
      </w:r>
      <w:r w:rsidR="00D019BD">
        <w:rPr>
          <w:color w:val="auto"/>
          <w:sz w:val="28"/>
        </w:rPr>
        <w:t xml:space="preserve"> в 2021 году увеличить</w:t>
      </w:r>
      <w:r w:rsidRPr="006F7A48">
        <w:rPr>
          <w:color w:val="auto"/>
          <w:sz w:val="28"/>
        </w:rPr>
        <w:t xml:space="preserve"> </w:t>
      </w:r>
      <w:r w:rsidRPr="006F7A48">
        <w:rPr>
          <w:bCs/>
          <w:color w:val="auto"/>
          <w:sz w:val="28"/>
          <w:szCs w:val="28"/>
        </w:rPr>
        <w:t xml:space="preserve">на 45 </w:t>
      </w:r>
      <w:r>
        <w:rPr>
          <w:bCs/>
          <w:color w:val="auto"/>
          <w:sz w:val="28"/>
          <w:szCs w:val="28"/>
        </w:rPr>
        <w:t>единиц, при этом целевое значение показателя на момент окончания действия муниципальной программы остается неизменным.</w:t>
      </w:r>
    </w:p>
    <w:p w:rsidR="00B57381" w:rsidRDefault="00B57381" w:rsidP="00B57381">
      <w:pPr>
        <w:ind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Кроме того, проектом изменений не предусмотрено внесение вышеуказанных изменений в паспорт муниципальной программы. </w:t>
      </w:r>
    </w:p>
    <w:p w:rsidR="00B57381" w:rsidRDefault="00B57381" w:rsidP="00B57381">
      <w:pPr>
        <w:ind w:firstLine="709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На основании изложенного, рекомендуем пересмотреть проект изменений, в части планируемого целевого показателя муниципальной программы. </w:t>
      </w:r>
    </w:p>
    <w:p w:rsidR="00FA2582" w:rsidRDefault="00B57381" w:rsidP="00A2615A">
      <w:pPr>
        <w:ind w:firstLine="567"/>
        <w:jc w:val="both"/>
        <w:rPr>
          <w:rFonts w:eastAsia="Times New Roman" w:cs="Times New Roman"/>
          <w:color w:val="auto"/>
          <w:sz w:val="28"/>
        </w:rPr>
      </w:pPr>
      <w:r>
        <w:rPr>
          <w:rFonts w:eastAsia="Times New Roman" w:cs="Times New Roman"/>
          <w:color w:val="auto"/>
          <w:sz w:val="28"/>
          <w:szCs w:val="28"/>
        </w:rPr>
        <w:t>3.3</w:t>
      </w:r>
      <w:r w:rsidR="00D4082C" w:rsidRPr="00FA2582">
        <w:rPr>
          <w:rFonts w:eastAsia="Times New Roman" w:cs="Times New Roman"/>
          <w:color w:val="auto"/>
          <w:sz w:val="28"/>
          <w:szCs w:val="28"/>
        </w:rPr>
        <w:t>.</w:t>
      </w:r>
      <w:r w:rsidR="007C42C4" w:rsidRPr="00FA2582">
        <w:rPr>
          <w:rFonts w:eastAsia="Times New Roman" w:cs="Times New Roman"/>
          <w:color w:val="auto"/>
          <w:sz w:val="28"/>
          <w:szCs w:val="28"/>
        </w:rPr>
        <w:t xml:space="preserve"> </w:t>
      </w:r>
      <w:r w:rsidR="00D4082C" w:rsidRPr="00FA2582">
        <w:rPr>
          <w:rFonts w:eastAsia="Times New Roman" w:cs="Times New Roman"/>
          <w:color w:val="auto"/>
          <w:sz w:val="28"/>
        </w:rPr>
        <w:t xml:space="preserve">Таблицу 2 </w:t>
      </w:r>
      <w:r w:rsidR="00A2615A" w:rsidRPr="00770935">
        <w:rPr>
          <w:sz w:val="28"/>
          <w:szCs w:val="28"/>
        </w:rPr>
        <w:t>«Перечень основных мероприятий муниципальной программы»</w:t>
      </w:r>
      <w:r w:rsidR="00A2615A">
        <w:rPr>
          <w:sz w:val="28"/>
          <w:szCs w:val="28"/>
        </w:rPr>
        <w:t xml:space="preserve"> </w:t>
      </w:r>
      <w:r w:rsidR="00D4082C" w:rsidRPr="00FA2582">
        <w:rPr>
          <w:rFonts w:eastAsia="Times New Roman" w:cs="Times New Roman"/>
          <w:color w:val="auto"/>
          <w:sz w:val="28"/>
        </w:rPr>
        <w:t>муниципальной программы изложить в новой редакции, а именно</w:t>
      </w:r>
      <w:r w:rsidR="00FA2582">
        <w:rPr>
          <w:rFonts w:eastAsia="Times New Roman" w:cs="Times New Roman"/>
          <w:color w:val="auto"/>
          <w:sz w:val="28"/>
        </w:rPr>
        <w:t>:</w:t>
      </w:r>
    </w:p>
    <w:p w:rsidR="00E72093" w:rsidRPr="00FA2582" w:rsidRDefault="00B57381" w:rsidP="006F7A48">
      <w:pPr>
        <w:tabs>
          <w:tab w:val="left" w:pos="0"/>
        </w:tabs>
        <w:ind w:firstLine="709"/>
        <w:jc w:val="both"/>
        <w:rPr>
          <w:rFonts w:eastAsia="Times New Roman" w:cs="Times New Roman"/>
          <w:color w:val="auto"/>
          <w:sz w:val="28"/>
        </w:rPr>
      </w:pPr>
      <w:r>
        <w:rPr>
          <w:rFonts w:eastAsia="Times New Roman" w:cs="Times New Roman"/>
          <w:color w:val="auto"/>
          <w:sz w:val="28"/>
        </w:rPr>
        <w:t>3.3</w:t>
      </w:r>
      <w:r w:rsidR="00FA2582">
        <w:rPr>
          <w:rFonts w:eastAsia="Times New Roman" w:cs="Times New Roman"/>
          <w:color w:val="auto"/>
          <w:sz w:val="28"/>
        </w:rPr>
        <w:t>.1.</w:t>
      </w:r>
      <w:r w:rsidR="00D4082C" w:rsidRPr="00FA2582">
        <w:rPr>
          <w:rFonts w:eastAsia="Times New Roman" w:cs="Times New Roman"/>
          <w:color w:val="auto"/>
          <w:sz w:val="28"/>
          <w:szCs w:val="24"/>
        </w:rPr>
        <w:t xml:space="preserve"> </w:t>
      </w:r>
      <w:r w:rsidR="00FA2582">
        <w:rPr>
          <w:rFonts w:eastAsia="Times New Roman" w:cs="Times New Roman"/>
          <w:color w:val="auto"/>
          <w:sz w:val="28"/>
          <w:szCs w:val="24"/>
        </w:rPr>
        <w:t>У</w:t>
      </w:r>
      <w:r w:rsidR="00E72093" w:rsidRPr="00FA2582">
        <w:rPr>
          <w:rFonts w:eastAsia="Times New Roman" w:cs="Times New Roman"/>
          <w:color w:val="auto"/>
          <w:sz w:val="28"/>
        </w:rPr>
        <w:t>величить объём финансирования муниципальной программы в 2021 году на 1 951,92</w:t>
      </w:r>
      <w:r w:rsidR="00F065AE" w:rsidRPr="00FA2582">
        <w:rPr>
          <w:rFonts w:eastAsia="Times New Roman" w:cs="Times New Roman"/>
          <w:color w:val="auto"/>
          <w:sz w:val="28"/>
        </w:rPr>
        <w:t>0</w:t>
      </w:r>
      <w:r w:rsidR="00E72093" w:rsidRPr="00FA2582">
        <w:rPr>
          <w:rFonts w:eastAsia="Times New Roman" w:cs="Times New Roman"/>
          <w:color w:val="auto"/>
          <w:sz w:val="28"/>
        </w:rPr>
        <w:t xml:space="preserve"> тыс. рублей по мероприятию </w:t>
      </w:r>
      <w:r w:rsidR="00B0687F" w:rsidRPr="00FA2582">
        <w:rPr>
          <w:rFonts w:eastAsia="Times New Roman" w:cs="Times New Roman"/>
          <w:color w:val="auto"/>
          <w:sz w:val="28"/>
        </w:rPr>
        <w:t xml:space="preserve">2.2. </w:t>
      </w:r>
      <w:r w:rsidR="00E72093" w:rsidRPr="00FA2582">
        <w:rPr>
          <w:rFonts w:eastAsia="Times New Roman" w:cs="Times New Roman"/>
          <w:color w:val="auto"/>
          <w:sz w:val="28"/>
        </w:rPr>
        <w:t>«</w:t>
      </w:r>
      <w:r w:rsidR="00845D02" w:rsidRPr="00FA2582">
        <w:rPr>
          <w:rFonts w:eastAsia="Times New Roman" w:cs="Times New Roman"/>
          <w:color w:val="auto"/>
          <w:sz w:val="28"/>
        </w:rPr>
        <w:t>Ликвидация и расселение приспособленных для проживания строений</w:t>
      </w:r>
      <w:r w:rsidR="00E72093" w:rsidRPr="00FA2582">
        <w:rPr>
          <w:rFonts w:eastAsia="Times New Roman" w:cs="Times New Roman"/>
          <w:color w:val="auto"/>
          <w:sz w:val="28"/>
        </w:rPr>
        <w:t>»</w:t>
      </w:r>
      <w:r w:rsidR="00B0687F" w:rsidRPr="00FA2582">
        <w:rPr>
          <w:color w:val="auto"/>
          <w:sz w:val="28"/>
          <w:szCs w:val="28"/>
        </w:rPr>
        <w:t xml:space="preserve"> подпрограммы </w:t>
      </w:r>
      <w:r w:rsidR="00B0687F" w:rsidRPr="00FA2582">
        <w:rPr>
          <w:color w:val="auto"/>
          <w:sz w:val="28"/>
          <w:szCs w:val="28"/>
          <w:lang w:val="en-US"/>
        </w:rPr>
        <w:t>II</w:t>
      </w:r>
      <w:r w:rsidR="00B0687F" w:rsidRPr="00FA2582">
        <w:rPr>
          <w:color w:val="auto"/>
          <w:sz w:val="28"/>
          <w:szCs w:val="28"/>
        </w:rPr>
        <w:t xml:space="preserve"> «Переселение граждан из непригодного для проживания жилищного фонда»</w:t>
      </w:r>
      <w:r w:rsidR="00E72093" w:rsidRPr="00FA2582">
        <w:rPr>
          <w:rFonts w:eastAsia="Times New Roman" w:cs="Times New Roman"/>
          <w:color w:val="auto"/>
          <w:sz w:val="28"/>
        </w:rPr>
        <w:t xml:space="preserve">. Указанные средства предусмотрены </w:t>
      </w:r>
      <w:r w:rsidR="002A1E84" w:rsidRPr="00FA2582">
        <w:rPr>
          <w:color w:val="auto"/>
          <w:sz w:val="28"/>
        </w:rPr>
        <w:t xml:space="preserve">соисполнителю муниципальной программы </w:t>
      </w:r>
      <w:r w:rsidR="00E72093" w:rsidRPr="00FA2582">
        <w:rPr>
          <w:rFonts w:eastAsia="Times New Roman" w:cs="Times New Roman"/>
          <w:color w:val="auto"/>
          <w:sz w:val="28"/>
        </w:rPr>
        <w:t>департаменту</w:t>
      </w:r>
      <w:r w:rsidR="00E72093" w:rsidRPr="00FA2582">
        <w:rPr>
          <w:rFonts w:eastAsia="Times New Roman" w:cs="Times New Roman"/>
          <w:color w:val="auto"/>
          <w:sz w:val="28"/>
          <w:szCs w:val="28"/>
        </w:rPr>
        <w:t xml:space="preserve"> жилищно-коммунального хозяйства</w:t>
      </w:r>
      <w:r w:rsidR="00E72093" w:rsidRPr="00FA2582">
        <w:rPr>
          <w:rFonts w:eastAsia="Times New Roman" w:cs="Times New Roman"/>
          <w:color w:val="auto"/>
          <w:sz w:val="28"/>
        </w:rPr>
        <w:t xml:space="preserve"> администрации города Нефтеюганска на снос строений балочного массива</w:t>
      </w:r>
      <w:r w:rsidR="00137898" w:rsidRPr="00FA2582">
        <w:rPr>
          <w:rFonts w:eastAsia="Times New Roman" w:cs="Times New Roman"/>
          <w:color w:val="auto"/>
          <w:sz w:val="28"/>
        </w:rPr>
        <w:t>.</w:t>
      </w:r>
    </w:p>
    <w:p w:rsidR="007C42C4" w:rsidRDefault="0082236E" w:rsidP="00076482">
      <w:pPr>
        <w:tabs>
          <w:tab w:val="left" w:pos="0"/>
        </w:tabs>
        <w:ind w:firstLine="709"/>
        <w:jc w:val="both"/>
        <w:rPr>
          <w:rFonts w:eastAsia="Calibri" w:cs="Times New Roman"/>
          <w:color w:val="auto"/>
          <w:sz w:val="28"/>
          <w:szCs w:val="28"/>
          <w:lang w:eastAsia="ar-SA"/>
        </w:rPr>
      </w:pPr>
      <w:r w:rsidRPr="00FA2582">
        <w:rPr>
          <w:rFonts w:eastAsia="Times New Roman" w:cs="Times New Roman"/>
          <w:color w:val="auto"/>
          <w:sz w:val="28"/>
          <w:szCs w:val="28"/>
        </w:rPr>
        <w:t>3.</w:t>
      </w:r>
      <w:r w:rsidR="00B57381">
        <w:rPr>
          <w:rFonts w:eastAsia="Times New Roman" w:cs="Times New Roman"/>
          <w:color w:val="auto"/>
          <w:sz w:val="28"/>
          <w:szCs w:val="28"/>
        </w:rPr>
        <w:t>3</w:t>
      </w:r>
      <w:r w:rsidR="00FA2582" w:rsidRPr="00FA2582">
        <w:rPr>
          <w:rFonts w:eastAsia="Times New Roman" w:cs="Times New Roman"/>
          <w:color w:val="auto"/>
          <w:sz w:val="28"/>
          <w:szCs w:val="28"/>
        </w:rPr>
        <w:t>.</w:t>
      </w:r>
      <w:r w:rsidR="00FA2582">
        <w:rPr>
          <w:rFonts w:eastAsia="Times New Roman" w:cs="Times New Roman"/>
          <w:color w:val="auto"/>
          <w:sz w:val="28"/>
          <w:szCs w:val="28"/>
        </w:rPr>
        <w:t>2</w:t>
      </w:r>
      <w:r w:rsidR="004D6243" w:rsidRPr="00FA2582">
        <w:rPr>
          <w:rFonts w:eastAsia="Times New Roman" w:cs="Times New Roman"/>
          <w:color w:val="auto"/>
          <w:sz w:val="28"/>
          <w:szCs w:val="28"/>
        </w:rPr>
        <w:t xml:space="preserve">. </w:t>
      </w:r>
      <w:r w:rsidR="005117AA" w:rsidRPr="00FA2582">
        <w:rPr>
          <w:color w:val="auto"/>
          <w:sz w:val="28"/>
          <w:szCs w:val="28"/>
        </w:rPr>
        <w:t xml:space="preserve">По основному </w:t>
      </w:r>
      <w:r w:rsidR="002A1E84" w:rsidRPr="00FA2582">
        <w:rPr>
          <w:color w:val="auto"/>
          <w:sz w:val="28"/>
          <w:szCs w:val="28"/>
        </w:rPr>
        <w:t>мероприятию</w:t>
      </w:r>
      <w:r w:rsidR="00D4082C" w:rsidRPr="00FA2582">
        <w:rPr>
          <w:color w:val="auto"/>
          <w:sz w:val="28"/>
          <w:szCs w:val="28"/>
        </w:rPr>
        <w:t xml:space="preserve"> </w:t>
      </w:r>
      <w:r w:rsidR="00D4082C">
        <w:rPr>
          <w:color w:val="auto"/>
          <w:sz w:val="28"/>
          <w:szCs w:val="28"/>
        </w:rPr>
        <w:t xml:space="preserve">4.1. «Организационное обеспечение функционирования отрасли» подпрограммы </w:t>
      </w:r>
      <w:r w:rsidR="004D6243" w:rsidRPr="00BA45F4">
        <w:rPr>
          <w:color w:val="auto"/>
          <w:sz w:val="28"/>
          <w:szCs w:val="28"/>
          <w:lang w:val="en-US"/>
        </w:rPr>
        <w:t>IV</w:t>
      </w:r>
      <w:r w:rsidR="005117AA" w:rsidRPr="00BA45F4">
        <w:rPr>
          <w:color w:val="auto"/>
          <w:sz w:val="28"/>
          <w:szCs w:val="28"/>
        </w:rPr>
        <w:t xml:space="preserve"> «</w:t>
      </w:r>
      <w:r w:rsidR="004D6243" w:rsidRPr="00BA45F4">
        <w:rPr>
          <w:color w:val="auto"/>
          <w:sz w:val="28"/>
          <w:szCs w:val="28"/>
        </w:rPr>
        <w:t>Обеспечение реализации муниципальной программы</w:t>
      </w:r>
      <w:r w:rsidR="005117AA" w:rsidRPr="00BA45F4">
        <w:rPr>
          <w:color w:val="auto"/>
          <w:sz w:val="28"/>
          <w:szCs w:val="28"/>
        </w:rPr>
        <w:t xml:space="preserve">» </w:t>
      </w:r>
      <w:r w:rsidR="007C42C4" w:rsidRPr="00300BE1">
        <w:rPr>
          <w:sz w:val="28"/>
          <w:szCs w:val="28"/>
        </w:rPr>
        <w:t>по ответственному исполнителю</w:t>
      </w:r>
      <w:r w:rsidR="005117AA" w:rsidRPr="00CD307A">
        <w:rPr>
          <w:color w:val="FF0000"/>
          <w:sz w:val="28"/>
          <w:szCs w:val="28"/>
        </w:rPr>
        <w:t xml:space="preserve"> </w:t>
      </w:r>
      <w:r w:rsidR="005117AA" w:rsidRPr="00BA45F4">
        <w:rPr>
          <w:color w:val="auto"/>
          <w:sz w:val="28"/>
          <w:szCs w:val="28"/>
        </w:rPr>
        <w:t xml:space="preserve">– департаменту </w:t>
      </w:r>
      <w:r w:rsidR="004D6243" w:rsidRPr="00BA45F4">
        <w:rPr>
          <w:rFonts w:eastAsia="Times New Roman" w:cs="Times New Roman"/>
          <w:color w:val="auto"/>
          <w:sz w:val="28"/>
          <w:szCs w:val="28"/>
        </w:rPr>
        <w:t>градостроительства и земельных отношений администрации города Нефтеюганска</w:t>
      </w:r>
      <w:r w:rsidR="00BA45F4">
        <w:rPr>
          <w:color w:val="auto"/>
          <w:sz w:val="28"/>
        </w:rPr>
        <w:t>:</w:t>
      </w:r>
    </w:p>
    <w:p w:rsidR="00BA45F4" w:rsidRDefault="0082236E" w:rsidP="00076482">
      <w:pPr>
        <w:tabs>
          <w:tab w:val="left" w:pos="0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3.</w:t>
      </w:r>
      <w:r w:rsidR="00B57381">
        <w:rPr>
          <w:color w:val="auto"/>
          <w:sz w:val="28"/>
        </w:rPr>
        <w:t>3</w:t>
      </w:r>
      <w:r w:rsidR="00D019BD">
        <w:rPr>
          <w:color w:val="auto"/>
          <w:sz w:val="28"/>
        </w:rPr>
        <w:t>.2</w:t>
      </w:r>
      <w:r w:rsidR="00FA2582">
        <w:rPr>
          <w:color w:val="auto"/>
          <w:sz w:val="28"/>
        </w:rPr>
        <w:t>.</w:t>
      </w:r>
      <w:r w:rsidR="00D019BD">
        <w:rPr>
          <w:color w:val="auto"/>
          <w:sz w:val="28"/>
        </w:rPr>
        <w:t>1.</w:t>
      </w:r>
      <w:r w:rsidR="00FA2582">
        <w:rPr>
          <w:color w:val="auto"/>
          <w:sz w:val="28"/>
        </w:rPr>
        <w:t xml:space="preserve"> </w:t>
      </w:r>
      <w:r w:rsidR="00D0160F">
        <w:rPr>
          <w:sz w:val="28"/>
          <w:szCs w:val="28"/>
        </w:rPr>
        <w:t>У</w:t>
      </w:r>
      <w:r w:rsidR="00BA45F4">
        <w:rPr>
          <w:sz w:val="28"/>
          <w:szCs w:val="28"/>
        </w:rPr>
        <w:t xml:space="preserve">величить финансовое обеспечение муниципальной программы в 2021 году на компенсацию расходов по обследованию на новую коронавирусную инфекцию, вызванную </w:t>
      </w:r>
      <w:r w:rsidR="00BA45F4">
        <w:rPr>
          <w:sz w:val="28"/>
          <w:szCs w:val="28"/>
          <w:lang w:val="en-US"/>
        </w:rPr>
        <w:t>COVID</w:t>
      </w:r>
      <w:r w:rsidR="00BA45F4">
        <w:rPr>
          <w:sz w:val="28"/>
          <w:szCs w:val="28"/>
        </w:rPr>
        <w:t>–19, понесённых муниципальными служащими администрации города, возвращающимися в Ханты-Мансийский автономный округ – Югру из отпусков сумме 176,000 тыс. рублей</w:t>
      </w:r>
      <w:r w:rsidR="00331865">
        <w:rPr>
          <w:color w:val="auto"/>
          <w:sz w:val="28"/>
        </w:rPr>
        <w:t>.</w:t>
      </w:r>
    </w:p>
    <w:p w:rsidR="0030449D" w:rsidRPr="0030449D" w:rsidRDefault="0082236E" w:rsidP="0030449D">
      <w:pPr>
        <w:ind w:firstLine="709"/>
        <w:jc w:val="both"/>
        <w:rPr>
          <w:rFonts w:eastAsia="Calibri" w:cs="Times New Roman"/>
          <w:color w:val="auto"/>
          <w:sz w:val="28"/>
          <w:szCs w:val="28"/>
          <w:lang w:eastAsia="en-US"/>
        </w:rPr>
      </w:pPr>
      <w:r>
        <w:rPr>
          <w:color w:val="auto"/>
          <w:sz w:val="28"/>
        </w:rPr>
        <w:t>3.</w:t>
      </w:r>
      <w:r w:rsidR="00B57381">
        <w:rPr>
          <w:color w:val="auto"/>
          <w:sz w:val="28"/>
        </w:rPr>
        <w:t>3</w:t>
      </w:r>
      <w:r w:rsidR="00D019BD">
        <w:rPr>
          <w:color w:val="auto"/>
          <w:sz w:val="28"/>
        </w:rPr>
        <w:t>.2</w:t>
      </w:r>
      <w:r w:rsidR="00FA2582">
        <w:rPr>
          <w:color w:val="auto"/>
          <w:sz w:val="28"/>
        </w:rPr>
        <w:t>.</w:t>
      </w:r>
      <w:r w:rsidR="00A84748">
        <w:rPr>
          <w:color w:val="auto"/>
          <w:sz w:val="28"/>
        </w:rPr>
        <w:t>2</w:t>
      </w:r>
      <w:r w:rsidR="00D019BD">
        <w:rPr>
          <w:color w:val="auto"/>
          <w:sz w:val="28"/>
        </w:rPr>
        <w:t>.</w:t>
      </w:r>
      <w:r w:rsidR="00D0160F">
        <w:rPr>
          <w:color w:val="auto"/>
          <w:sz w:val="28"/>
        </w:rPr>
        <w:t xml:space="preserve"> </w:t>
      </w:r>
      <w:r w:rsidR="00D0160F">
        <w:rPr>
          <w:rFonts w:eastAsia="Times New Roman" w:cs="Times New Roman"/>
          <w:color w:val="auto"/>
          <w:sz w:val="28"/>
          <w:szCs w:val="28"/>
        </w:rPr>
        <w:t>У</w:t>
      </w:r>
      <w:r w:rsidR="009156C7" w:rsidRPr="00805683">
        <w:rPr>
          <w:color w:val="auto"/>
          <w:sz w:val="28"/>
        </w:rPr>
        <w:t xml:space="preserve">меньшить </w:t>
      </w:r>
      <w:r w:rsidR="00845D02">
        <w:rPr>
          <w:color w:val="auto"/>
          <w:sz w:val="28"/>
        </w:rPr>
        <w:t>расходы</w:t>
      </w:r>
      <w:r w:rsidR="00C678B2">
        <w:rPr>
          <w:color w:val="auto"/>
          <w:sz w:val="28"/>
        </w:rPr>
        <w:t xml:space="preserve"> </w:t>
      </w:r>
      <w:r w:rsidR="009156C7">
        <w:rPr>
          <w:color w:val="auto"/>
          <w:sz w:val="28"/>
        </w:rPr>
        <w:t>н</w:t>
      </w:r>
      <w:r w:rsidR="009156C7" w:rsidRPr="00805683">
        <w:rPr>
          <w:color w:val="auto"/>
          <w:sz w:val="28"/>
        </w:rPr>
        <w:t xml:space="preserve">а </w:t>
      </w:r>
      <w:r w:rsidR="001947AB">
        <w:rPr>
          <w:color w:val="auto"/>
          <w:sz w:val="28"/>
        </w:rPr>
        <w:t>оказание услуг по техническому обслуживанию пожарной сигнализации МКУ «Управление капитального строительства» в связи с перераспределен</w:t>
      </w:r>
      <w:r w:rsidR="004A70AC">
        <w:rPr>
          <w:color w:val="auto"/>
          <w:sz w:val="28"/>
        </w:rPr>
        <w:t xml:space="preserve">ием на муниципальную программу </w:t>
      </w:r>
      <w:r w:rsidR="004A70AC">
        <w:rPr>
          <w:color w:val="auto"/>
          <w:sz w:val="28"/>
        </w:rPr>
        <w:lastRenderedPageBreak/>
        <w:t>«З</w:t>
      </w:r>
      <w:r w:rsidR="001947AB">
        <w:rPr>
          <w:color w:val="auto"/>
          <w:sz w:val="28"/>
        </w:rPr>
        <w:t xml:space="preserve">ащита населения и территории от чрезвычайных ситуаций, обеспечение первичных мер пожарной безопасности в городе Нефтеюганске» </w:t>
      </w:r>
      <w:r w:rsidR="0030449D">
        <w:rPr>
          <w:color w:val="auto"/>
          <w:sz w:val="28"/>
        </w:rPr>
        <w:t>в размере</w:t>
      </w:r>
      <w:r w:rsidR="009156C7" w:rsidRPr="00805683">
        <w:rPr>
          <w:color w:val="auto"/>
          <w:sz w:val="28"/>
        </w:rPr>
        <w:t xml:space="preserve"> </w:t>
      </w:r>
      <w:r w:rsidR="009156C7">
        <w:rPr>
          <w:color w:val="auto"/>
          <w:sz w:val="28"/>
        </w:rPr>
        <w:t>760,000</w:t>
      </w:r>
      <w:r w:rsidR="009156C7" w:rsidRPr="00805683">
        <w:rPr>
          <w:color w:val="auto"/>
          <w:sz w:val="28"/>
        </w:rPr>
        <w:t xml:space="preserve"> тыс. </w:t>
      </w:r>
      <w:r w:rsidR="009156C7" w:rsidRPr="0030449D">
        <w:rPr>
          <w:color w:val="auto"/>
          <w:sz w:val="28"/>
        </w:rPr>
        <w:t xml:space="preserve">рублей </w:t>
      </w:r>
      <w:r w:rsidR="0030449D" w:rsidRPr="0030449D">
        <w:rPr>
          <w:rFonts w:eastAsia="Times New Roman" w:cs="Times New Roman"/>
          <w:color w:val="auto"/>
          <w:sz w:val="28"/>
        </w:rPr>
        <w:t>на период 2021-2030 годов, по 76,000 тыс. рублей на каждый год</w:t>
      </w:r>
      <w:r w:rsidR="0030449D">
        <w:rPr>
          <w:rFonts w:eastAsia="Times New Roman" w:cs="Times New Roman"/>
          <w:color w:val="auto"/>
          <w:sz w:val="28"/>
        </w:rPr>
        <w:t>.</w:t>
      </w:r>
    </w:p>
    <w:p w:rsidR="009C52B3" w:rsidRDefault="009C52B3" w:rsidP="009C52B3">
      <w:pPr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9C52B3">
        <w:rPr>
          <w:rFonts w:eastAsia="Times New Roman" w:cs="Times New Roman"/>
          <w:color w:val="auto"/>
          <w:sz w:val="28"/>
          <w:szCs w:val="28"/>
        </w:rPr>
        <w:t>4. Финансовые показатели, содержащиеся в проекте изменений, соответствуют расчётам, предоставленным на экспертизу.</w:t>
      </w:r>
    </w:p>
    <w:p w:rsidR="00FA2582" w:rsidRPr="00FA2582" w:rsidRDefault="00FA2582" w:rsidP="00FA2582">
      <w:pPr>
        <w:spacing w:line="247" w:lineRule="auto"/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FA2582">
        <w:rPr>
          <w:rFonts w:eastAsia="Times New Roman" w:cs="Times New Roman"/>
          <w:color w:val="auto"/>
          <w:sz w:val="28"/>
          <w:szCs w:val="28"/>
        </w:rPr>
        <w:t>По итогам проведения финансово-экономической экспертизы, предлагаем направить проект изменений на утверждение с учётом рекомендации, отражённой в настоящем заключении.</w:t>
      </w:r>
    </w:p>
    <w:p w:rsidR="00FA2582" w:rsidRDefault="00FA2582" w:rsidP="009C52B3">
      <w:pPr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</w:p>
    <w:p w:rsidR="00A84748" w:rsidRDefault="00A84748" w:rsidP="009C52B3">
      <w:pPr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</w:p>
    <w:p w:rsidR="003B4572" w:rsidRDefault="003B4572" w:rsidP="00272B2D">
      <w:pPr>
        <w:widowControl w:val="0"/>
        <w:tabs>
          <w:tab w:val="left" w:pos="709"/>
        </w:tabs>
        <w:jc w:val="both"/>
        <w:rPr>
          <w:sz w:val="28"/>
        </w:rPr>
      </w:pPr>
      <w:bookmarkStart w:id="0" w:name="_GoBack"/>
      <w:bookmarkEnd w:id="0"/>
    </w:p>
    <w:p w:rsidR="00C47B1F" w:rsidRDefault="00FB6871" w:rsidP="003B4572">
      <w:pPr>
        <w:tabs>
          <w:tab w:val="left" w:pos="0"/>
        </w:tabs>
        <w:spacing w:line="276" w:lineRule="auto"/>
        <w:jc w:val="both"/>
        <w:rPr>
          <w:sz w:val="20"/>
        </w:rPr>
      </w:pPr>
      <w:r>
        <w:rPr>
          <w:sz w:val="28"/>
        </w:rPr>
        <w:t xml:space="preserve">Председатель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С.А. Гичкина </w:t>
      </w:r>
    </w:p>
    <w:p w:rsidR="004A03D3" w:rsidRDefault="004A03D3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82236E" w:rsidRDefault="0082236E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82236E" w:rsidRDefault="0082236E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82236E" w:rsidRDefault="0082236E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82236E" w:rsidRDefault="0082236E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82236E" w:rsidRDefault="0082236E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82236E" w:rsidRDefault="0082236E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82236E" w:rsidRDefault="0082236E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82236E" w:rsidRDefault="0082236E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82236E" w:rsidRDefault="0082236E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82236E" w:rsidRDefault="0082236E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82236E" w:rsidRDefault="0082236E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82236E" w:rsidRDefault="0082236E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82236E" w:rsidRDefault="0082236E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82236E" w:rsidRDefault="0082236E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82236E" w:rsidRDefault="0082236E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82236E" w:rsidRDefault="0082236E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82236E" w:rsidRDefault="0082236E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82236E" w:rsidRDefault="0082236E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82236E" w:rsidRDefault="0082236E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82236E" w:rsidRDefault="0082236E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82236E" w:rsidRDefault="0082236E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82236E" w:rsidRDefault="0082236E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82236E" w:rsidRDefault="0082236E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82236E" w:rsidRDefault="0082236E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82236E" w:rsidRDefault="0082236E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C678B2" w:rsidRDefault="00C678B2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C678B2" w:rsidRDefault="00C678B2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F02231" w:rsidRDefault="00F02231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1947AB" w:rsidRPr="00486C6D" w:rsidRDefault="001947AB" w:rsidP="001947AB">
      <w:pPr>
        <w:tabs>
          <w:tab w:val="left" w:pos="0"/>
        </w:tabs>
        <w:jc w:val="both"/>
        <w:rPr>
          <w:sz w:val="16"/>
          <w:szCs w:val="16"/>
        </w:rPr>
      </w:pPr>
      <w:r w:rsidRPr="00486C6D">
        <w:rPr>
          <w:sz w:val="16"/>
          <w:szCs w:val="16"/>
        </w:rPr>
        <w:t>Исполнитель:</w:t>
      </w:r>
    </w:p>
    <w:p w:rsidR="001947AB" w:rsidRPr="00486C6D" w:rsidRDefault="001947AB" w:rsidP="001947AB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Инспектор </w:t>
      </w:r>
      <w:r w:rsidRPr="00486C6D">
        <w:rPr>
          <w:sz w:val="16"/>
          <w:szCs w:val="16"/>
        </w:rPr>
        <w:t xml:space="preserve">инспекторского отдела № </w:t>
      </w:r>
      <w:r>
        <w:rPr>
          <w:sz w:val="16"/>
          <w:szCs w:val="16"/>
        </w:rPr>
        <w:t>2</w:t>
      </w:r>
      <w:r w:rsidRPr="00486C6D">
        <w:rPr>
          <w:sz w:val="16"/>
          <w:szCs w:val="16"/>
        </w:rPr>
        <w:t xml:space="preserve"> </w:t>
      </w:r>
    </w:p>
    <w:p w:rsidR="001947AB" w:rsidRPr="00486C6D" w:rsidRDefault="001947AB" w:rsidP="001947AB">
      <w:pPr>
        <w:tabs>
          <w:tab w:val="left" w:pos="0"/>
        </w:tabs>
        <w:jc w:val="both"/>
        <w:rPr>
          <w:sz w:val="16"/>
          <w:szCs w:val="16"/>
        </w:rPr>
      </w:pPr>
      <w:r w:rsidRPr="00486C6D">
        <w:rPr>
          <w:sz w:val="16"/>
          <w:szCs w:val="16"/>
        </w:rPr>
        <w:t>Счётной палаты города  Нефтеюганска</w:t>
      </w:r>
    </w:p>
    <w:p w:rsidR="001947AB" w:rsidRPr="00486C6D" w:rsidRDefault="001947AB" w:rsidP="001947AB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Капитонова Раушания Исхаковна</w:t>
      </w:r>
    </w:p>
    <w:p w:rsidR="001947AB" w:rsidRDefault="001947AB" w:rsidP="001947AB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Тел. 8(3463)203948</w:t>
      </w:r>
    </w:p>
    <w:p w:rsidR="00C678B2" w:rsidRDefault="00C678B2" w:rsidP="001947AB">
      <w:pPr>
        <w:tabs>
          <w:tab w:val="left" w:pos="0"/>
        </w:tabs>
        <w:jc w:val="both"/>
        <w:rPr>
          <w:sz w:val="16"/>
          <w:szCs w:val="16"/>
        </w:rPr>
      </w:pPr>
    </w:p>
    <w:sectPr w:rsidR="00C678B2" w:rsidSect="00D93B4A">
      <w:headerReference w:type="default" r:id="rId12"/>
      <w:pgSz w:w="11906" w:h="16838"/>
      <w:pgMar w:top="851" w:right="680" w:bottom="851" w:left="1418" w:header="709" w:footer="709" w:gutter="0"/>
      <w:cols w:space="720" w:equalWidth="0">
        <w:col w:w="9696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4C0" w:rsidRDefault="00DA34C0">
      <w:r>
        <w:separator/>
      </w:r>
    </w:p>
  </w:endnote>
  <w:endnote w:type="continuationSeparator" w:id="0">
    <w:p w:rsidR="00DA34C0" w:rsidRDefault="00DA3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4C0" w:rsidRDefault="00DA34C0">
      <w:r>
        <w:separator/>
      </w:r>
    </w:p>
  </w:footnote>
  <w:footnote w:type="continuationSeparator" w:id="0">
    <w:p w:rsidR="00DA34C0" w:rsidRDefault="00DA3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647" w:rsidRDefault="00571647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1A1663">
      <w:rPr>
        <w:noProof/>
      </w:rPr>
      <w:t>2</w:t>
    </w:r>
    <w:r>
      <w:fldChar w:fldCharType="end"/>
    </w:r>
  </w:p>
  <w:p w:rsidR="00571647" w:rsidRDefault="00571647">
    <w:pPr>
      <w:pStyle w:val="a4"/>
      <w:jc w:val="center"/>
    </w:pPr>
  </w:p>
  <w:p w:rsidR="00571647" w:rsidRDefault="005716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multilevel"/>
    <w:tmpl w:val="62CA4756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983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0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99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7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1E7A70D3"/>
    <w:multiLevelType w:val="hybridMultilevel"/>
    <w:tmpl w:val="CE4A9B18"/>
    <w:lvl w:ilvl="0" w:tplc="6C6AAB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AA623EE"/>
    <w:multiLevelType w:val="hybridMultilevel"/>
    <w:tmpl w:val="B6B838E6"/>
    <w:lvl w:ilvl="0" w:tplc="F8E2B5EE">
      <w:start w:val="2019"/>
      <w:numFmt w:val="decimal"/>
      <w:lvlText w:val="%1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A4B"/>
    <w:rsid w:val="00025F63"/>
    <w:rsid w:val="00026F28"/>
    <w:rsid w:val="000306BB"/>
    <w:rsid w:val="000313FE"/>
    <w:rsid w:val="00033306"/>
    <w:rsid w:val="00036E5A"/>
    <w:rsid w:val="0004177D"/>
    <w:rsid w:val="0004666B"/>
    <w:rsid w:val="0005022E"/>
    <w:rsid w:val="000649AE"/>
    <w:rsid w:val="00066861"/>
    <w:rsid w:val="00076482"/>
    <w:rsid w:val="00085E36"/>
    <w:rsid w:val="00094386"/>
    <w:rsid w:val="000A5741"/>
    <w:rsid w:val="000B1495"/>
    <w:rsid w:val="000B5CBA"/>
    <w:rsid w:val="000C387A"/>
    <w:rsid w:val="000D0655"/>
    <w:rsid w:val="000D0BE0"/>
    <w:rsid w:val="000D593E"/>
    <w:rsid w:val="000D6527"/>
    <w:rsid w:val="000D7433"/>
    <w:rsid w:val="000D7BA2"/>
    <w:rsid w:val="000E490E"/>
    <w:rsid w:val="000F43FB"/>
    <w:rsid w:val="001058DF"/>
    <w:rsid w:val="00111A29"/>
    <w:rsid w:val="00114C35"/>
    <w:rsid w:val="0013054F"/>
    <w:rsid w:val="00132DE3"/>
    <w:rsid w:val="001338F4"/>
    <w:rsid w:val="00137898"/>
    <w:rsid w:val="001426E1"/>
    <w:rsid w:val="00152FE8"/>
    <w:rsid w:val="00160B67"/>
    <w:rsid w:val="00162670"/>
    <w:rsid w:val="001641D7"/>
    <w:rsid w:val="001662BE"/>
    <w:rsid w:val="00172A27"/>
    <w:rsid w:val="00191761"/>
    <w:rsid w:val="001919C8"/>
    <w:rsid w:val="00191D1C"/>
    <w:rsid w:val="0019375B"/>
    <w:rsid w:val="001947AB"/>
    <w:rsid w:val="001967F7"/>
    <w:rsid w:val="001A1663"/>
    <w:rsid w:val="001A748A"/>
    <w:rsid w:val="001B621C"/>
    <w:rsid w:val="001C78F6"/>
    <w:rsid w:val="001D000F"/>
    <w:rsid w:val="001D2F2C"/>
    <w:rsid w:val="001D3E1B"/>
    <w:rsid w:val="001E15BB"/>
    <w:rsid w:val="001F3854"/>
    <w:rsid w:val="001F4A82"/>
    <w:rsid w:val="002109EC"/>
    <w:rsid w:val="00217913"/>
    <w:rsid w:val="0023728F"/>
    <w:rsid w:val="00242C55"/>
    <w:rsid w:val="00251473"/>
    <w:rsid w:val="00262AA1"/>
    <w:rsid w:val="00263753"/>
    <w:rsid w:val="002640EA"/>
    <w:rsid w:val="00264BC2"/>
    <w:rsid w:val="002728B5"/>
    <w:rsid w:val="00272B2D"/>
    <w:rsid w:val="00273688"/>
    <w:rsid w:val="0028344E"/>
    <w:rsid w:val="00291650"/>
    <w:rsid w:val="0029372E"/>
    <w:rsid w:val="00297992"/>
    <w:rsid w:val="002A1E84"/>
    <w:rsid w:val="002A59A7"/>
    <w:rsid w:val="002A63F2"/>
    <w:rsid w:val="002B6323"/>
    <w:rsid w:val="002B74C3"/>
    <w:rsid w:val="002C22F0"/>
    <w:rsid w:val="002C33DA"/>
    <w:rsid w:val="002C506D"/>
    <w:rsid w:val="0030449D"/>
    <w:rsid w:val="00315485"/>
    <w:rsid w:val="00316F81"/>
    <w:rsid w:val="003241E8"/>
    <w:rsid w:val="00331865"/>
    <w:rsid w:val="003442ED"/>
    <w:rsid w:val="00355234"/>
    <w:rsid w:val="00372A02"/>
    <w:rsid w:val="00372F9A"/>
    <w:rsid w:val="00390F49"/>
    <w:rsid w:val="003A45A2"/>
    <w:rsid w:val="003B35FC"/>
    <w:rsid w:val="003B4572"/>
    <w:rsid w:val="003B5D4B"/>
    <w:rsid w:val="003C4CC5"/>
    <w:rsid w:val="003C57A2"/>
    <w:rsid w:val="003D09FE"/>
    <w:rsid w:val="003E59F3"/>
    <w:rsid w:val="003E5A1C"/>
    <w:rsid w:val="003F7B47"/>
    <w:rsid w:val="004117F5"/>
    <w:rsid w:val="00455778"/>
    <w:rsid w:val="00455E15"/>
    <w:rsid w:val="004611DE"/>
    <w:rsid w:val="00465C26"/>
    <w:rsid w:val="004661FE"/>
    <w:rsid w:val="00467D0A"/>
    <w:rsid w:val="0047418E"/>
    <w:rsid w:val="0047582A"/>
    <w:rsid w:val="00481482"/>
    <w:rsid w:val="004862BC"/>
    <w:rsid w:val="00486C6D"/>
    <w:rsid w:val="00494C3E"/>
    <w:rsid w:val="00495D07"/>
    <w:rsid w:val="004A03D3"/>
    <w:rsid w:val="004A1433"/>
    <w:rsid w:val="004A34C8"/>
    <w:rsid w:val="004A524D"/>
    <w:rsid w:val="004A70AC"/>
    <w:rsid w:val="004B71B8"/>
    <w:rsid w:val="004C325D"/>
    <w:rsid w:val="004C738A"/>
    <w:rsid w:val="004D6243"/>
    <w:rsid w:val="004E3D2A"/>
    <w:rsid w:val="004E6DE6"/>
    <w:rsid w:val="004F08DF"/>
    <w:rsid w:val="004F6EF7"/>
    <w:rsid w:val="004F7E31"/>
    <w:rsid w:val="005039C8"/>
    <w:rsid w:val="00506008"/>
    <w:rsid w:val="005111A2"/>
    <w:rsid w:val="005117AA"/>
    <w:rsid w:val="0051343C"/>
    <w:rsid w:val="00532A63"/>
    <w:rsid w:val="00535656"/>
    <w:rsid w:val="00537E74"/>
    <w:rsid w:val="005436E3"/>
    <w:rsid w:val="00554147"/>
    <w:rsid w:val="00563DD5"/>
    <w:rsid w:val="00566A86"/>
    <w:rsid w:val="00571647"/>
    <w:rsid w:val="00582B8D"/>
    <w:rsid w:val="005A4869"/>
    <w:rsid w:val="005B7192"/>
    <w:rsid w:val="005D68EE"/>
    <w:rsid w:val="005D7505"/>
    <w:rsid w:val="005E1754"/>
    <w:rsid w:val="005E51A6"/>
    <w:rsid w:val="005F0AF4"/>
    <w:rsid w:val="005F4D88"/>
    <w:rsid w:val="005F6DAE"/>
    <w:rsid w:val="006011EE"/>
    <w:rsid w:val="00603C11"/>
    <w:rsid w:val="00605220"/>
    <w:rsid w:val="006225B3"/>
    <w:rsid w:val="0062270F"/>
    <w:rsid w:val="00623559"/>
    <w:rsid w:val="00642929"/>
    <w:rsid w:val="00642B94"/>
    <w:rsid w:val="006449FD"/>
    <w:rsid w:val="006500DE"/>
    <w:rsid w:val="006518AD"/>
    <w:rsid w:val="006527DF"/>
    <w:rsid w:val="0066527F"/>
    <w:rsid w:val="00665506"/>
    <w:rsid w:val="006668DA"/>
    <w:rsid w:val="00671B5A"/>
    <w:rsid w:val="00674DB6"/>
    <w:rsid w:val="0068282A"/>
    <w:rsid w:val="006831EB"/>
    <w:rsid w:val="00683E32"/>
    <w:rsid w:val="00690A33"/>
    <w:rsid w:val="006C6421"/>
    <w:rsid w:val="006E07F1"/>
    <w:rsid w:val="006F7A48"/>
    <w:rsid w:val="007134DB"/>
    <w:rsid w:val="007613E8"/>
    <w:rsid w:val="00761658"/>
    <w:rsid w:val="00795456"/>
    <w:rsid w:val="007A3607"/>
    <w:rsid w:val="007B5C0E"/>
    <w:rsid w:val="007C2ED5"/>
    <w:rsid w:val="007C42C4"/>
    <w:rsid w:val="007C6628"/>
    <w:rsid w:val="007D6140"/>
    <w:rsid w:val="007E7822"/>
    <w:rsid w:val="007F0D80"/>
    <w:rsid w:val="00803116"/>
    <w:rsid w:val="00804D73"/>
    <w:rsid w:val="00805683"/>
    <w:rsid w:val="0082236E"/>
    <w:rsid w:val="00822A64"/>
    <w:rsid w:val="00825575"/>
    <w:rsid w:val="008301D8"/>
    <w:rsid w:val="00832092"/>
    <w:rsid w:val="0084554E"/>
    <w:rsid w:val="00845D02"/>
    <w:rsid w:val="00847583"/>
    <w:rsid w:val="00851502"/>
    <w:rsid w:val="008522D0"/>
    <w:rsid w:val="00855C5F"/>
    <w:rsid w:val="00862343"/>
    <w:rsid w:val="00867B57"/>
    <w:rsid w:val="00874249"/>
    <w:rsid w:val="00874A73"/>
    <w:rsid w:val="00881315"/>
    <w:rsid w:val="0089604A"/>
    <w:rsid w:val="00896321"/>
    <w:rsid w:val="008E5820"/>
    <w:rsid w:val="009156C7"/>
    <w:rsid w:val="00933370"/>
    <w:rsid w:val="009457F8"/>
    <w:rsid w:val="00951FE3"/>
    <w:rsid w:val="00952B64"/>
    <w:rsid w:val="00952C9E"/>
    <w:rsid w:val="009564B0"/>
    <w:rsid w:val="00970940"/>
    <w:rsid w:val="00971E2A"/>
    <w:rsid w:val="00972224"/>
    <w:rsid w:val="0099355B"/>
    <w:rsid w:val="00994DAB"/>
    <w:rsid w:val="009A0705"/>
    <w:rsid w:val="009A348A"/>
    <w:rsid w:val="009B224B"/>
    <w:rsid w:val="009B2A3C"/>
    <w:rsid w:val="009C2636"/>
    <w:rsid w:val="009C52B3"/>
    <w:rsid w:val="009C58CF"/>
    <w:rsid w:val="009D30EF"/>
    <w:rsid w:val="009E7315"/>
    <w:rsid w:val="009F5049"/>
    <w:rsid w:val="00A0019B"/>
    <w:rsid w:val="00A00259"/>
    <w:rsid w:val="00A04E77"/>
    <w:rsid w:val="00A232B7"/>
    <w:rsid w:val="00A2615A"/>
    <w:rsid w:val="00A31FC6"/>
    <w:rsid w:val="00A53841"/>
    <w:rsid w:val="00A5624B"/>
    <w:rsid w:val="00A6089C"/>
    <w:rsid w:val="00A7132E"/>
    <w:rsid w:val="00A7643E"/>
    <w:rsid w:val="00A76D8C"/>
    <w:rsid w:val="00A81BD6"/>
    <w:rsid w:val="00A81F44"/>
    <w:rsid w:val="00A84748"/>
    <w:rsid w:val="00A86543"/>
    <w:rsid w:val="00AA36BA"/>
    <w:rsid w:val="00AA58D0"/>
    <w:rsid w:val="00AA6960"/>
    <w:rsid w:val="00AA6D8A"/>
    <w:rsid w:val="00AD3CF7"/>
    <w:rsid w:val="00AD5D5A"/>
    <w:rsid w:val="00AE74FC"/>
    <w:rsid w:val="00AF1BCE"/>
    <w:rsid w:val="00AF207D"/>
    <w:rsid w:val="00AF2590"/>
    <w:rsid w:val="00B02D7C"/>
    <w:rsid w:val="00B0687F"/>
    <w:rsid w:val="00B1049E"/>
    <w:rsid w:val="00B11268"/>
    <w:rsid w:val="00B21729"/>
    <w:rsid w:val="00B22364"/>
    <w:rsid w:val="00B25A75"/>
    <w:rsid w:val="00B25B5A"/>
    <w:rsid w:val="00B26813"/>
    <w:rsid w:val="00B44351"/>
    <w:rsid w:val="00B57381"/>
    <w:rsid w:val="00B62391"/>
    <w:rsid w:val="00B62596"/>
    <w:rsid w:val="00B62A28"/>
    <w:rsid w:val="00B731EC"/>
    <w:rsid w:val="00B945E1"/>
    <w:rsid w:val="00BA1EAB"/>
    <w:rsid w:val="00BA1F67"/>
    <w:rsid w:val="00BA43CC"/>
    <w:rsid w:val="00BA45F4"/>
    <w:rsid w:val="00BC65A9"/>
    <w:rsid w:val="00BD1AB1"/>
    <w:rsid w:val="00BD4B12"/>
    <w:rsid w:val="00BD6B31"/>
    <w:rsid w:val="00BE0596"/>
    <w:rsid w:val="00BF4A05"/>
    <w:rsid w:val="00C060C8"/>
    <w:rsid w:val="00C07D03"/>
    <w:rsid w:val="00C148DB"/>
    <w:rsid w:val="00C41148"/>
    <w:rsid w:val="00C47B1F"/>
    <w:rsid w:val="00C55BB3"/>
    <w:rsid w:val="00C62FBE"/>
    <w:rsid w:val="00C678B2"/>
    <w:rsid w:val="00C76F9A"/>
    <w:rsid w:val="00C81A17"/>
    <w:rsid w:val="00C81B51"/>
    <w:rsid w:val="00CA2AF2"/>
    <w:rsid w:val="00CA75A0"/>
    <w:rsid w:val="00CB56E9"/>
    <w:rsid w:val="00CD307A"/>
    <w:rsid w:val="00CD5914"/>
    <w:rsid w:val="00CD5DBD"/>
    <w:rsid w:val="00CD7DF8"/>
    <w:rsid w:val="00CE0EBE"/>
    <w:rsid w:val="00CE3B2B"/>
    <w:rsid w:val="00CF6671"/>
    <w:rsid w:val="00D0160F"/>
    <w:rsid w:val="00D019BD"/>
    <w:rsid w:val="00D03AEA"/>
    <w:rsid w:val="00D03CD7"/>
    <w:rsid w:val="00D22D2F"/>
    <w:rsid w:val="00D34954"/>
    <w:rsid w:val="00D4082C"/>
    <w:rsid w:val="00D45EDC"/>
    <w:rsid w:val="00D55BF1"/>
    <w:rsid w:val="00D57412"/>
    <w:rsid w:val="00D772A1"/>
    <w:rsid w:val="00D82B91"/>
    <w:rsid w:val="00D92EEB"/>
    <w:rsid w:val="00D93B4A"/>
    <w:rsid w:val="00DA34C0"/>
    <w:rsid w:val="00DB4EC3"/>
    <w:rsid w:val="00DB78C5"/>
    <w:rsid w:val="00DD2F46"/>
    <w:rsid w:val="00DD5D2F"/>
    <w:rsid w:val="00DE1680"/>
    <w:rsid w:val="00E00D97"/>
    <w:rsid w:val="00E21540"/>
    <w:rsid w:val="00E30C82"/>
    <w:rsid w:val="00E369A6"/>
    <w:rsid w:val="00E447EA"/>
    <w:rsid w:val="00E54187"/>
    <w:rsid w:val="00E61790"/>
    <w:rsid w:val="00E63021"/>
    <w:rsid w:val="00E63835"/>
    <w:rsid w:val="00E63F7E"/>
    <w:rsid w:val="00E72093"/>
    <w:rsid w:val="00E74D2A"/>
    <w:rsid w:val="00E77CC7"/>
    <w:rsid w:val="00E82D37"/>
    <w:rsid w:val="00E84F57"/>
    <w:rsid w:val="00E92903"/>
    <w:rsid w:val="00EB0FCB"/>
    <w:rsid w:val="00EB30A4"/>
    <w:rsid w:val="00EB4D58"/>
    <w:rsid w:val="00EC08F9"/>
    <w:rsid w:val="00EC1051"/>
    <w:rsid w:val="00EC59EB"/>
    <w:rsid w:val="00EC62A8"/>
    <w:rsid w:val="00ED5270"/>
    <w:rsid w:val="00ED6193"/>
    <w:rsid w:val="00ED77A0"/>
    <w:rsid w:val="00EE148C"/>
    <w:rsid w:val="00EF3190"/>
    <w:rsid w:val="00EF78D7"/>
    <w:rsid w:val="00F003B8"/>
    <w:rsid w:val="00F02231"/>
    <w:rsid w:val="00F02309"/>
    <w:rsid w:val="00F03791"/>
    <w:rsid w:val="00F065AE"/>
    <w:rsid w:val="00F30DD8"/>
    <w:rsid w:val="00F314ED"/>
    <w:rsid w:val="00F47516"/>
    <w:rsid w:val="00F62135"/>
    <w:rsid w:val="00F67591"/>
    <w:rsid w:val="00F7289E"/>
    <w:rsid w:val="00F77CA2"/>
    <w:rsid w:val="00F81233"/>
    <w:rsid w:val="00F83F42"/>
    <w:rsid w:val="00F85642"/>
    <w:rsid w:val="00F8763E"/>
    <w:rsid w:val="00F91A3D"/>
    <w:rsid w:val="00F94251"/>
    <w:rsid w:val="00F95200"/>
    <w:rsid w:val="00F96ABF"/>
    <w:rsid w:val="00F97F16"/>
    <w:rsid w:val="00FA2582"/>
    <w:rsid w:val="00FB6871"/>
    <w:rsid w:val="00FC0C4C"/>
    <w:rsid w:val="00FD484E"/>
    <w:rsid w:val="00FD6A8A"/>
    <w:rsid w:val="00FE7A74"/>
    <w:rsid w:val="00FF0B4C"/>
    <w:rsid w:val="00FF3D4E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95480C-4AE2-40E7-96E6-23DAEE55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2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Pr>
      <w:i/>
      <w:sz w:val="20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Pr>
      <w:rFonts w:ascii="XO Thames" w:hAnsi="XO Thames"/>
      <w:i/>
      <w:color w:val="616161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</w:style>
  <w:style w:type="paragraph" w:customStyle="1" w:styleId="s10">
    <w:name w:val="s_10"/>
    <w:link w:val="s101"/>
    <w:rPr>
      <w:color w:val="000000"/>
      <w:sz w:val="22"/>
    </w:rPr>
  </w:style>
  <w:style w:type="character" w:customStyle="1" w:styleId="s101">
    <w:name w:val="s_101"/>
    <w:basedOn w:val="a0"/>
    <w:link w:val="s10"/>
    <w:qFormat/>
  </w:style>
  <w:style w:type="paragraph" w:customStyle="1" w:styleId="Footnote">
    <w:name w:val="Footnote"/>
    <w:link w:val="Footnote1"/>
    <w:qFormat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0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ugansk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p-ugansk@mail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A39364-EEED-492D-BD1B-1F8C4B597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3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TatarinovaOA</cp:lastModifiedBy>
  <cp:revision>76</cp:revision>
  <cp:lastPrinted>2021-03-01T05:05:00Z</cp:lastPrinted>
  <dcterms:created xsi:type="dcterms:W3CDTF">2020-11-23T08:36:00Z</dcterms:created>
  <dcterms:modified xsi:type="dcterms:W3CDTF">2021-03-15T14:25:00Z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