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FDA" w:rsidRPr="008C69FB" w:rsidRDefault="000C0FDA">
      <w:pPr>
        <w:jc w:val="center"/>
        <w:rPr>
          <w:b/>
          <w:sz w:val="28"/>
          <w:lang w:val="en-US"/>
        </w:rPr>
      </w:pPr>
    </w:p>
    <w:p w:rsidR="002849E1" w:rsidRDefault="0059731E">
      <w:pPr>
        <w:jc w:val="center"/>
        <w:rPr>
          <w:b/>
          <w:sz w:val="28"/>
        </w:rPr>
      </w:pPr>
      <w:r>
        <w:rPr>
          <w:b/>
          <w:sz w:val="28"/>
        </w:rPr>
        <w:t xml:space="preserve">Информация о работе за </w:t>
      </w:r>
      <w:r w:rsidR="001F405F">
        <w:rPr>
          <w:b/>
          <w:sz w:val="28"/>
          <w:lang w:val="en-US"/>
        </w:rPr>
        <w:t>I</w:t>
      </w:r>
      <w:r w:rsidR="003D137D" w:rsidRPr="003D137D">
        <w:rPr>
          <w:b/>
          <w:sz w:val="28"/>
          <w:lang w:val="en-US"/>
        </w:rPr>
        <w:t>I</w:t>
      </w:r>
      <w:r w:rsidR="00FE0EF1">
        <w:rPr>
          <w:b/>
          <w:sz w:val="28"/>
        </w:rPr>
        <w:t xml:space="preserve"> квартал 2020</w:t>
      </w:r>
      <w:r>
        <w:rPr>
          <w:b/>
          <w:sz w:val="28"/>
        </w:rPr>
        <w:t xml:space="preserve"> года</w:t>
      </w:r>
    </w:p>
    <w:p w:rsidR="007D39AB" w:rsidRDefault="0059731E" w:rsidP="007D39AB">
      <w:pPr>
        <w:pStyle w:val="a9"/>
        <w:spacing w:beforeAutospacing="0" w:afterAutospacing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0C0FDA" w:rsidRDefault="0059731E">
      <w:pPr>
        <w:pStyle w:val="a9"/>
        <w:spacing w:beforeAutospacing="0" w:afterAutospacing="0"/>
        <w:jc w:val="both"/>
        <w:rPr>
          <w:sz w:val="28"/>
        </w:rPr>
      </w:pPr>
      <w:r>
        <w:rPr>
          <w:sz w:val="28"/>
        </w:rPr>
        <w:tab/>
      </w:r>
    </w:p>
    <w:p w:rsidR="002849E1" w:rsidRDefault="0059731E" w:rsidP="000C0FDA">
      <w:pPr>
        <w:pStyle w:val="a9"/>
        <w:spacing w:beforeAutospacing="0" w:afterAutospacing="0"/>
        <w:ind w:firstLine="708"/>
        <w:jc w:val="both"/>
        <w:rPr>
          <w:sz w:val="28"/>
        </w:rPr>
      </w:pPr>
      <w:r>
        <w:rPr>
          <w:sz w:val="28"/>
        </w:rPr>
        <w:t>В отчётном периоде Счётная палата, руководствуясь Б</w:t>
      </w:r>
      <w:r w:rsidR="00C476EF">
        <w:rPr>
          <w:sz w:val="28"/>
        </w:rPr>
        <w:t>К</w:t>
      </w:r>
      <w:r>
        <w:rPr>
          <w:sz w:val="28"/>
        </w:rPr>
        <w:t xml:space="preserve"> РФ</w:t>
      </w:r>
      <w:r w:rsidR="00C476EF">
        <w:rPr>
          <w:rStyle w:val="af9"/>
          <w:sz w:val="28"/>
        </w:rPr>
        <w:footnoteReference w:id="1"/>
      </w:r>
      <w:r>
        <w:rPr>
          <w:sz w:val="28"/>
        </w:rPr>
        <w:t xml:space="preserve">, Федеральным законом </w:t>
      </w:r>
      <w:r w:rsidR="00C476EF">
        <w:rPr>
          <w:sz w:val="28"/>
        </w:rPr>
        <w:t xml:space="preserve">от 07.02.2011 </w:t>
      </w:r>
      <w:r>
        <w:rPr>
          <w:sz w:val="28"/>
        </w:rPr>
        <w:t>№ 6-ФЗ</w:t>
      </w:r>
      <w:r w:rsidR="00C476EF">
        <w:rPr>
          <w:rStyle w:val="af9"/>
          <w:sz w:val="28"/>
        </w:rPr>
        <w:footnoteReference w:id="2"/>
      </w:r>
      <w:r>
        <w:rPr>
          <w:sz w:val="28"/>
        </w:rPr>
        <w:t>, Положением о Счётной палате</w:t>
      </w:r>
      <w:r w:rsidR="00C476EF">
        <w:rPr>
          <w:rStyle w:val="af9"/>
          <w:sz w:val="28"/>
        </w:rPr>
        <w:footnoteReference w:id="3"/>
      </w:r>
      <w:r w:rsidR="00DD71F4">
        <w:rPr>
          <w:sz w:val="28"/>
        </w:rPr>
        <w:t>,</w:t>
      </w:r>
      <w:r w:rsidR="00C476EF">
        <w:rPr>
          <w:sz w:val="28"/>
        </w:rPr>
        <w:t xml:space="preserve"> </w:t>
      </w:r>
      <w:r>
        <w:rPr>
          <w:sz w:val="28"/>
        </w:rPr>
        <w:t xml:space="preserve">осуществляла муниципальный финансовый контроль в форме контрольных и экспертно-аналитических мероприятий. </w:t>
      </w:r>
    </w:p>
    <w:p w:rsidR="007D39AB" w:rsidRDefault="007D39AB">
      <w:pPr>
        <w:tabs>
          <w:tab w:val="right" w:pos="9355"/>
        </w:tabs>
        <w:ind w:firstLine="540"/>
        <w:jc w:val="center"/>
        <w:rPr>
          <w:b/>
          <w:sz w:val="28"/>
        </w:rPr>
      </w:pPr>
    </w:p>
    <w:p w:rsidR="002849E1" w:rsidRDefault="0059731E" w:rsidP="00307981">
      <w:pPr>
        <w:tabs>
          <w:tab w:val="right" w:pos="9355"/>
        </w:tabs>
        <w:jc w:val="center"/>
        <w:rPr>
          <w:b/>
          <w:sz w:val="28"/>
        </w:rPr>
      </w:pPr>
      <w:r>
        <w:rPr>
          <w:b/>
          <w:sz w:val="28"/>
        </w:rPr>
        <w:t>1. Контрольная деятельность</w:t>
      </w:r>
    </w:p>
    <w:p w:rsidR="002849E1" w:rsidRDefault="002849E1">
      <w:pPr>
        <w:tabs>
          <w:tab w:val="right" w:pos="9355"/>
        </w:tabs>
        <w:ind w:firstLine="540"/>
        <w:jc w:val="center"/>
        <w:rPr>
          <w:sz w:val="28"/>
        </w:rPr>
      </w:pPr>
    </w:p>
    <w:p w:rsidR="005D0FB8" w:rsidRDefault="0059731E" w:rsidP="005D0FB8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3D137D">
        <w:rPr>
          <w:sz w:val="28"/>
        </w:rPr>
        <w:t>о</w:t>
      </w:r>
      <w:r w:rsidR="00D05ADD">
        <w:rPr>
          <w:sz w:val="28"/>
        </w:rPr>
        <w:t xml:space="preserve"> </w:t>
      </w:r>
      <w:r w:rsidR="003D137D">
        <w:rPr>
          <w:sz w:val="28"/>
        </w:rPr>
        <w:t>втор</w:t>
      </w:r>
      <w:r w:rsidR="00FE0EF1">
        <w:rPr>
          <w:sz w:val="28"/>
        </w:rPr>
        <w:t>ом</w:t>
      </w:r>
      <w:r>
        <w:rPr>
          <w:sz w:val="28"/>
        </w:rPr>
        <w:t xml:space="preserve"> квартале 20</w:t>
      </w:r>
      <w:r w:rsidR="00FE0EF1">
        <w:rPr>
          <w:sz w:val="28"/>
        </w:rPr>
        <w:t>20</w:t>
      </w:r>
      <w:r>
        <w:rPr>
          <w:sz w:val="28"/>
        </w:rPr>
        <w:t xml:space="preserve"> года проведен</w:t>
      </w:r>
      <w:r w:rsidR="00A10245">
        <w:rPr>
          <w:sz w:val="28"/>
        </w:rPr>
        <w:t xml:space="preserve">о </w:t>
      </w:r>
      <w:r w:rsidR="00267D20" w:rsidRPr="00631AFF">
        <w:rPr>
          <w:sz w:val="28"/>
        </w:rPr>
        <w:t>1</w:t>
      </w:r>
      <w:r w:rsidR="00631AFF" w:rsidRPr="00631AFF">
        <w:rPr>
          <w:sz w:val="28"/>
        </w:rPr>
        <w:t>5</w:t>
      </w:r>
      <w:r w:rsidR="00267D20">
        <w:rPr>
          <w:sz w:val="28"/>
        </w:rPr>
        <w:t xml:space="preserve"> </w:t>
      </w:r>
      <w:r>
        <w:rPr>
          <w:sz w:val="28"/>
        </w:rPr>
        <w:t>контро</w:t>
      </w:r>
      <w:r w:rsidR="00A71B5D">
        <w:rPr>
          <w:sz w:val="28"/>
        </w:rPr>
        <w:t>льны</w:t>
      </w:r>
      <w:r w:rsidR="00C06B7B">
        <w:rPr>
          <w:sz w:val="28"/>
        </w:rPr>
        <w:t>х</w:t>
      </w:r>
      <w:r>
        <w:rPr>
          <w:sz w:val="28"/>
        </w:rPr>
        <w:t xml:space="preserve"> мероприяти</w:t>
      </w:r>
      <w:r w:rsidR="00267D20">
        <w:rPr>
          <w:sz w:val="28"/>
        </w:rPr>
        <w:t>й, в том числе:</w:t>
      </w:r>
    </w:p>
    <w:p w:rsidR="005D0FB8" w:rsidRDefault="005D0FB8" w:rsidP="005D0FB8">
      <w:pPr>
        <w:ind w:firstLine="709"/>
        <w:jc w:val="both"/>
        <w:rPr>
          <w:sz w:val="28"/>
        </w:rPr>
      </w:pPr>
      <w:r>
        <w:rPr>
          <w:sz w:val="28"/>
        </w:rPr>
        <w:t xml:space="preserve">аудит в сфере закупок </w:t>
      </w:r>
      <w:r w:rsidRPr="005D0FB8">
        <w:rPr>
          <w:sz w:val="28"/>
        </w:rPr>
        <w:t>товаров (работ, услуг)</w:t>
      </w:r>
      <w:r>
        <w:rPr>
          <w:sz w:val="28"/>
        </w:rPr>
        <w:t xml:space="preserve"> на 4 объектах контроля;</w:t>
      </w:r>
    </w:p>
    <w:p w:rsidR="002849E1" w:rsidRDefault="00621BDB" w:rsidP="00621BDB">
      <w:pPr>
        <w:ind w:firstLine="709"/>
        <w:jc w:val="both"/>
        <w:rPr>
          <w:sz w:val="28"/>
        </w:rPr>
      </w:pPr>
      <w:r>
        <w:rPr>
          <w:sz w:val="28"/>
        </w:rPr>
        <w:t>проверка</w:t>
      </w:r>
      <w:r w:rsidRPr="00621BDB">
        <w:rPr>
          <w:sz w:val="28"/>
        </w:rPr>
        <w:t xml:space="preserve"> законности, результативности (эффективности и экономности) использования средств бюджета города Нефтеюганска на реализацию мероприятия «Строительство (реконструкция), капитальный ремонт автомобильных дорог общего пользования местного значения» муниципальной программы «Развитие транспортной системы города Нефтеюганска»</w:t>
      </w:r>
      <w:r w:rsidR="000C0FDA">
        <w:rPr>
          <w:sz w:val="28"/>
        </w:rPr>
        <w:t xml:space="preserve"> на 2 объектах контроля;</w:t>
      </w:r>
    </w:p>
    <w:p w:rsidR="000C0FDA" w:rsidRDefault="000C0FDA" w:rsidP="000C0FDA">
      <w:pPr>
        <w:ind w:firstLine="709"/>
        <w:jc w:val="both"/>
        <w:rPr>
          <w:sz w:val="28"/>
        </w:rPr>
      </w:pPr>
      <w:r>
        <w:rPr>
          <w:sz w:val="28"/>
        </w:rPr>
        <w:t xml:space="preserve">внешняя проверка </w:t>
      </w:r>
      <w:r w:rsidRPr="005D0FB8">
        <w:rPr>
          <w:sz w:val="28"/>
        </w:rPr>
        <w:t>годовой бюджетной отчётности главных администраторов бюджетных средств</w:t>
      </w:r>
      <w:r>
        <w:rPr>
          <w:sz w:val="28"/>
        </w:rPr>
        <w:t xml:space="preserve"> на 10 объектах контроля.</w:t>
      </w:r>
    </w:p>
    <w:p w:rsidR="0011407B" w:rsidRDefault="0011407B" w:rsidP="00621BDB">
      <w:pPr>
        <w:ind w:firstLine="709"/>
        <w:jc w:val="both"/>
        <w:rPr>
          <w:sz w:val="28"/>
        </w:rPr>
      </w:pPr>
      <w:r>
        <w:rPr>
          <w:sz w:val="28"/>
        </w:rPr>
        <w:t xml:space="preserve">Кроме того, в отчётном периоде в соответствии с Федеральным законом от 02.05.2006 № 59-ФЗ «О порядке рассмотрения обращений граждан Российской Федерации» рассмотрены обращения граждан, направленные в Счётную палату из Аппарата Губернатора Ханты-Мансийского автономного округа – Югры, Управления Федеральной антимонопольной службы по Ханты-Мансийскому автономному округу – Югре и Счётной палаты </w:t>
      </w:r>
      <w:r w:rsidRPr="0011407B">
        <w:rPr>
          <w:sz w:val="28"/>
        </w:rPr>
        <w:t>Ханты-Мансийского автономного округа – Югры</w:t>
      </w:r>
      <w:r>
        <w:rPr>
          <w:sz w:val="28"/>
        </w:rPr>
        <w:t>.</w:t>
      </w:r>
    </w:p>
    <w:p w:rsidR="00621BDB" w:rsidRDefault="0011407B" w:rsidP="00621BDB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FE0EF1" w:rsidRPr="00FE0EF1" w:rsidRDefault="00FE0EF1" w:rsidP="00FE0EF1">
      <w:pPr>
        <w:ind w:firstLine="709"/>
        <w:jc w:val="center"/>
        <w:rPr>
          <w:b/>
          <w:i/>
          <w:sz w:val="28"/>
        </w:rPr>
      </w:pPr>
      <w:r w:rsidRPr="00FE0EF1">
        <w:rPr>
          <w:b/>
          <w:i/>
          <w:sz w:val="28"/>
        </w:rPr>
        <w:t>1.1. «</w:t>
      </w:r>
      <w:r w:rsidR="00621BDB">
        <w:rPr>
          <w:b/>
          <w:i/>
          <w:sz w:val="28"/>
        </w:rPr>
        <w:t>А</w:t>
      </w:r>
      <w:r w:rsidR="00621BDB" w:rsidRPr="00621BDB">
        <w:rPr>
          <w:b/>
          <w:i/>
          <w:sz w:val="28"/>
        </w:rPr>
        <w:t>удит в сфере закупок товаров (работ, услуг)</w:t>
      </w:r>
      <w:r w:rsidRPr="00FE0EF1">
        <w:rPr>
          <w:b/>
          <w:i/>
          <w:sz w:val="28"/>
        </w:rPr>
        <w:t>»</w:t>
      </w:r>
    </w:p>
    <w:p w:rsidR="00FE0EF1" w:rsidRDefault="00FE0EF1">
      <w:pPr>
        <w:ind w:firstLine="709"/>
        <w:jc w:val="both"/>
        <w:rPr>
          <w:sz w:val="28"/>
        </w:rPr>
      </w:pPr>
    </w:p>
    <w:p w:rsidR="00621BDB" w:rsidRDefault="00FE0EF1" w:rsidP="00FE0EF1">
      <w:pPr>
        <w:ind w:firstLine="709"/>
        <w:jc w:val="both"/>
        <w:rPr>
          <w:sz w:val="28"/>
        </w:rPr>
      </w:pPr>
      <w:r>
        <w:rPr>
          <w:sz w:val="28"/>
        </w:rPr>
        <w:t>Контрольн</w:t>
      </w:r>
      <w:r w:rsidR="00621BDB">
        <w:rPr>
          <w:sz w:val="28"/>
        </w:rPr>
        <w:t>ые</w:t>
      </w:r>
      <w:r>
        <w:rPr>
          <w:sz w:val="28"/>
        </w:rPr>
        <w:t xml:space="preserve"> мероприяти</w:t>
      </w:r>
      <w:r w:rsidR="00621BDB">
        <w:rPr>
          <w:sz w:val="28"/>
        </w:rPr>
        <w:t>я</w:t>
      </w:r>
      <w:r>
        <w:rPr>
          <w:sz w:val="28"/>
        </w:rPr>
        <w:t xml:space="preserve"> проведен</w:t>
      </w:r>
      <w:r w:rsidR="00621BDB">
        <w:rPr>
          <w:sz w:val="28"/>
        </w:rPr>
        <w:t>ы</w:t>
      </w:r>
      <w:r>
        <w:rPr>
          <w:sz w:val="28"/>
        </w:rPr>
        <w:t xml:space="preserve"> на объектах: </w:t>
      </w:r>
    </w:p>
    <w:p w:rsidR="00621BDB" w:rsidRDefault="00621BDB" w:rsidP="00FE0EF1">
      <w:pPr>
        <w:ind w:firstLine="709"/>
        <w:jc w:val="both"/>
        <w:rPr>
          <w:sz w:val="28"/>
        </w:rPr>
      </w:pPr>
      <w:r w:rsidRPr="00621BDB">
        <w:rPr>
          <w:sz w:val="28"/>
        </w:rPr>
        <w:t>департамент градостроительства и земельных отношений ад</w:t>
      </w:r>
      <w:r>
        <w:rPr>
          <w:sz w:val="28"/>
        </w:rPr>
        <w:t>министрации города Нефтеюганска (далее по тексту – ДГиЗО</w:t>
      </w:r>
      <w:r w:rsidRPr="00621BDB">
        <w:rPr>
          <w:sz w:val="28"/>
        </w:rPr>
        <w:t>)</w:t>
      </w:r>
      <w:r>
        <w:rPr>
          <w:sz w:val="28"/>
        </w:rPr>
        <w:t>;</w:t>
      </w:r>
    </w:p>
    <w:p w:rsidR="00621BDB" w:rsidRDefault="00621BDB" w:rsidP="00FE0EF1">
      <w:pPr>
        <w:ind w:firstLine="709"/>
        <w:jc w:val="both"/>
        <w:rPr>
          <w:sz w:val="28"/>
        </w:rPr>
      </w:pPr>
      <w:r>
        <w:rPr>
          <w:sz w:val="28"/>
        </w:rPr>
        <w:t>д</w:t>
      </w:r>
      <w:r w:rsidRPr="00621BDB">
        <w:rPr>
          <w:sz w:val="28"/>
        </w:rPr>
        <w:t xml:space="preserve">епартамент жилищно-коммунального хозяйства администрации города Нефтеюганска (далее по тексту – </w:t>
      </w:r>
      <w:r>
        <w:rPr>
          <w:sz w:val="28"/>
        </w:rPr>
        <w:t>ДЖКХ</w:t>
      </w:r>
      <w:r w:rsidRPr="00621BDB">
        <w:rPr>
          <w:sz w:val="28"/>
        </w:rPr>
        <w:t>)</w:t>
      </w:r>
      <w:r>
        <w:rPr>
          <w:sz w:val="28"/>
        </w:rPr>
        <w:t>;</w:t>
      </w:r>
    </w:p>
    <w:p w:rsidR="00FE0EF1" w:rsidRDefault="00FE0EF1" w:rsidP="00FE0EF1">
      <w:pPr>
        <w:ind w:firstLine="709"/>
        <w:jc w:val="both"/>
        <w:rPr>
          <w:sz w:val="28"/>
        </w:rPr>
      </w:pPr>
      <w:r>
        <w:rPr>
          <w:sz w:val="28"/>
        </w:rPr>
        <w:t>м</w:t>
      </w:r>
      <w:r w:rsidRPr="00FE0EF1">
        <w:rPr>
          <w:sz w:val="28"/>
        </w:rPr>
        <w:t>униципальное казённое учреждение «Управление капитального строительства» (далее по тексту – МКУ «УК</w:t>
      </w:r>
      <w:r w:rsidR="00621BDB">
        <w:rPr>
          <w:sz w:val="28"/>
        </w:rPr>
        <w:t>С»</w:t>
      </w:r>
      <w:r w:rsidRPr="00FE0EF1">
        <w:rPr>
          <w:sz w:val="28"/>
        </w:rPr>
        <w:t>)</w:t>
      </w:r>
      <w:r w:rsidR="00621BDB">
        <w:rPr>
          <w:sz w:val="28"/>
        </w:rPr>
        <w:t>;</w:t>
      </w:r>
    </w:p>
    <w:p w:rsidR="00621BDB" w:rsidRDefault="00621BDB" w:rsidP="00FE0EF1">
      <w:pPr>
        <w:ind w:firstLine="709"/>
        <w:jc w:val="both"/>
        <w:rPr>
          <w:sz w:val="28"/>
        </w:rPr>
      </w:pPr>
      <w:r w:rsidRPr="00621BDB">
        <w:rPr>
          <w:sz w:val="28"/>
        </w:rPr>
        <w:lastRenderedPageBreak/>
        <w:t xml:space="preserve">Нефтеюганское городское муниципальное казённое учреждение коммунального хозяйства «Служба единого заказчика» (далее по тексту – </w:t>
      </w:r>
      <w:r>
        <w:rPr>
          <w:sz w:val="28"/>
        </w:rPr>
        <w:t>НГ</w:t>
      </w:r>
      <w:r w:rsidR="0071065C">
        <w:rPr>
          <w:sz w:val="28"/>
        </w:rPr>
        <w:t xml:space="preserve"> </w:t>
      </w:r>
      <w:r>
        <w:rPr>
          <w:sz w:val="28"/>
        </w:rPr>
        <w:t>МКУ КХ «СЕЗ»</w:t>
      </w:r>
      <w:r w:rsidRPr="00621BDB">
        <w:rPr>
          <w:sz w:val="28"/>
        </w:rPr>
        <w:t>)</w:t>
      </w:r>
      <w:r>
        <w:rPr>
          <w:sz w:val="28"/>
        </w:rPr>
        <w:t>.</w:t>
      </w:r>
    </w:p>
    <w:p w:rsidR="00FE0EF1" w:rsidRDefault="00F3286E" w:rsidP="00FE0EF1">
      <w:pPr>
        <w:ind w:firstLine="709"/>
        <w:jc w:val="both"/>
        <w:rPr>
          <w:sz w:val="28"/>
        </w:rPr>
      </w:pPr>
      <w:r>
        <w:rPr>
          <w:sz w:val="28"/>
        </w:rPr>
        <w:t>По результатам контрольн</w:t>
      </w:r>
      <w:r w:rsidR="00621BDB">
        <w:rPr>
          <w:sz w:val="28"/>
        </w:rPr>
        <w:t>ых</w:t>
      </w:r>
      <w:r>
        <w:rPr>
          <w:sz w:val="28"/>
        </w:rPr>
        <w:t xml:space="preserve"> мероприяти</w:t>
      </w:r>
      <w:r w:rsidR="00621BDB">
        <w:rPr>
          <w:sz w:val="28"/>
        </w:rPr>
        <w:t>й</w:t>
      </w:r>
      <w:r>
        <w:rPr>
          <w:sz w:val="28"/>
        </w:rPr>
        <w:t xml:space="preserve"> </w:t>
      </w:r>
      <w:r w:rsidR="00FE0EF1">
        <w:rPr>
          <w:sz w:val="28"/>
        </w:rPr>
        <w:t>установлено:</w:t>
      </w:r>
    </w:p>
    <w:p w:rsidR="00C551A8" w:rsidRDefault="00621BDB" w:rsidP="003674BA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C551A8">
        <w:rPr>
          <w:sz w:val="28"/>
        </w:rPr>
        <w:t xml:space="preserve">На объекте </w:t>
      </w:r>
      <w:r w:rsidR="00DB6AA1">
        <w:rPr>
          <w:sz w:val="28"/>
        </w:rPr>
        <w:t>ДЖКХ</w:t>
      </w:r>
      <w:r w:rsidR="00C551A8">
        <w:rPr>
          <w:sz w:val="28"/>
        </w:rPr>
        <w:t>:</w:t>
      </w:r>
    </w:p>
    <w:p w:rsidR="003674BA" w:rsidRPr="003674BA" w:rsidRDefault="00DB6AA1" w:rsidP="003674BA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C551A8">
        <w:rPr>
          <w:sz w:val="28"/>
        </w:rPr>
        <w:t>- п</w:t>
      </w:r>
      <w:r w:rsidR="003674BA" w:rsidRPr="003674BA">
        <w:rPr>
          <w:sz w:val="28"/>
        </w:rPr>
        <w:t xml:space="preserve">ри исполнении ряда договоров нарушались сроки оплаты товаров, работ, услуг, </w:t>
      </w:r>
      <w:r w:rsidR="000C0FDA">
        <w:rPr>
          <w:sz w:val="28"/>
        </w:rPr>
        <w:t>а также</w:t>
      </w:r>
      <w:r w:rsidR="003674BA">
        <w:rPr>
          <w:sz w:val="28"/>
        </w:rPr>
        <w:t xml:space="preserve"> в</w:t>
      </w:r>
      <w:r w:rsidR="003674BA" w:rsidRPr="003674BA">
        <w:rPr>
          <w:sz w:val="28"/>
        </w:rPr>
        <w:t xml:space="preserve">  нарушение условий контракта денежные средства, внесённые в качестве обеспечения исполнения контракта, возвращены Постав</w:t>
      </w:r>
      <w:r w:rsidR="003674BA">
        <w:rPr>
          <w:sz w:val="28"/>
        </w:rPr>
        <w:t>щику позже установленного срока</w:t>
      </w:r>
      <w:r w:rsidR="003674BA" w:rsidRPr="003674BA">
        <w:rPr>
          <w:sz w:val="28"/>
        </w:rPr>
        <w:t xml:space="preserve">. </w:t>
      </w:r>
    </w:p>
    <w:p w:rsidR="003674BA" w:rsidRDefault="003674BA" w:rsidP="003674BA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Pr="003674BA">
        <w:rPr>
          <w:sz w:val="28"/>
        </w:rPr>
        <w:t>МКУ «УКС»</w:t>
      </w:r>
      <w:r>
        <w:rPr>
          <w:sz w:val="28"/>
        </w:rPr>
        <w:t>:</w:t>
      </w:r>
    </w:p>
    <w:p w:rsidR="003674BA" w:rsidRPr="003674BA" w:rsidRDefault="003674BA" w:rsidP="003674BA">
      <w:pPr>
        <w:ind w:firstLine="709"/>
        <w:jc w:val="both"/>
        <w:rPr>
          <w:sz w:val="28"/>
        </w:rPr>
      </w:pPr>
      <w:r>
        <w:rPr>
          <w:sz w:val="28"/>
        </w:rPr>
        <w:t>- в</w:t>
      </w:r>
      <w:r w:rsidRPr="003674BA">
        <w:rPr>
          <w:sz w:val="28"/>
        </w:rPr>
        <w:t xml:space="preserve"> нарушение статьи 9, части 6 статьи 38 Закон</w:t>
      </w:r>
      <w:r>
        <w:rPr>
          <w:sz w:val="28"/>
        </w:rPr>
        <w:t>а</w:t>
      </w:r>
      <w:r w:rsidRPr="003674BA">
        <w:rPr>
          <w:sz w:val="28"/>
        </w:rPr>
        <w:t xml:space="preserve"> о контрактной системе</w:t>
      </w:r>
      <w:r w:rsidR="00810C00">
        <w:rPr>
          <w:rStyle w:val="af9"/>
          <w:sz w:val="28"/>
        </w:rPr>
        <w:footnoteReference w:id="4"/>
      </w:r>
      <w:r w:rsidRPr="003674BA">
        <w:rPr>
          <w:sz w:val="28"/>
        </w:rPr>
        <w:t xml:space="preserve"> у работника контрактной службы (главного бухгалтера) отсутствовало соответствующее образование</w:t>
      </w:r>
      <w:r w:rsidR="00A82406">
        <w:rPr>
          <w:sz w:val="28"/>
        </w:rPr>
        <w:t>;</w:t>
      </w:r>
    </w:p>
    <w:p w:rsidR="003674BA" w:rsidRPr="003674BA" w:rsidRDefault="00FF25A5" w:rsidP="003674BA">
      <w:pPr>
        <w:ind w:firstLine="709"/>
        <w:jc w:val="both"/>
        <w:rPr>
          <w:sz w:val="28"/>
        </w:rPr>
      </w:pPr>
      <w:r>
        <w:rPr>
          <w:sz w:val="28"/>
        </w:rPr>
        <w:t>- п</w:t>
      </w:r>
      <w:r w:rsidR="003674BA" w:rsidRPr="003674BA">
        <w:rPr>
          <w:sz w:val="28"/>
        </w:rPr>
        <w:t>ри исполнении ряда договоров нарушались сроки оплаты товаров, работ, услуг, а также установлено несоблюдение условий заключенных договоров</w:t>
      </w:r>
      <w:r>
        <w:rPr>
          <w:sz w:val="28"/>
        </w:rPr>
        <w:t>,</w:t>
      </w:r>
      <w:r w:rsidR="003674BA" w:rsidRPr="003674BA">
        <w:rPr>
          <w:sz w:val="28"/>
        </w:rPr>
        <w:t xml:space="preserve"> в части порядка оплаты выполненных работ (оказанных услуг</w:t>
      </w:r>
      <w:r w:rsidR="00C551A8">
        <w:rPr>
          <w:sz w:val="28"/>
        </w:rPr>
        <w:t>)</w:t>
      </w:r>
      <w:r w:rsidR="00A82406">
        <w:rPr>
          <w:sz w:val="28"/>
        </w:rPr>
        <w:t>;</w:t>
      </w:r>
      <w:r w:rsidR="003674BA" w:rsidRPr="003674BA">
        <w:rPr>
          <w:sz w:val="28"/>
        </w:rPr>
        <w:t xml:space="preserve"> </w:t>
      </w:r>
    </w:p>
    <w:p w:rsidR="003674BA" w:rsidRPr="003674BA" w:rsidRDefault="00FF25A5" w:rsidP="003674BA">
      <w:pPr>
        <w:ind w:firstLine="709"/>
        <w:jc w:val="both"/>
        <w:rPr>
          <w:sz w:val="28"/>
        </w:rPr>
      </w:pPr>
      <w:r>
        <w:rPr>
          <w:sz w:val="28"/>
        </w:rPr>
        <w:t>- в</w:t>
      </w:r>
      <w:r w:rsidR="003674BA" w:rsidRPr="003674BA">
        <w:rPr>
          <w:sz w:val="28"/>
        </w:rPr>
        <w:t xml:space="preserve"> нарушение подпункта 1 части 1 статьи 95 Закона о контрактной системе заключено дополнительное соглашение об увеличении цены контракта на 10 %. При этом, возможность изменения существенного условия в контракте (договоре) отсутствовала.   </w:t>
      </w:r>
    </w:p>
    <w:p w:rsidR="003674BA" w:rsidRPr="003674BA" w:rsidRDefault="002858B9" w:rsidP="003674BA">
      <w:pPr>
        <w:ind w:firstLine="709"/>
        <w:jc w:val="both"/>
        <w:rPr>
          <w:sz w:val="28"/>
        </w:rPr>
      </w:pPr>
      <w:r>
        <w:rPr>
          <w:sz w:val="28"/>
        </w:rPr>
        <w:t>- в</w:t>
      </w:r>
      <w:r w:rsidR="003674BA" w:rsidRPr="003674BA">
        <w:rPr>
          <w:sz w:val="28"/>
        </w:rPr>
        <w:t xml:space="preserve"> нарушение части 3 статьи 103 Закона о контрактной системе, пункта 12 </w:t>
      </w:r>
      <w:r w:rsidR="003674BA" w:rsidRPr="00386671">
        <w:rPr>
          <w:sz w:val="28"/>
        </w:rPr>
        <w:t>Порядка</w:t>
      </w:r>
      <w:r w:rsidR="000B0091">
        <w:rPr>
          <w:rStyle w:val="af9"/>
          <w:sz w:val="28"/>
        </w:rPr>
        <w:footnoteReference w:id="5"/>
      </w:r>
      <w:r w:rsidR="003674BA" w:rsidRPr="003674BA">
        <w:rPr>
          <w:sz w:val="28"/>
        </w:rPr>
        <w:t xml:space="preserve"> </w:t>
      </w:r>
      <w:r w:rsidR="0071065C">
        <w:rPr>
          <w:sz w:val="28"/>
        </w:rPr>
        <w:t xml:space="preserve">по отдельным контрактам </w:t>
      </w:r>
      <w:r w:rsidR="003674BA" w:rsidRPr="003674BA">
        <w:rPr>
          <w:sz w:val="28"/>
        </w:rPr>
        <w:t>информация в р</w:t>
      </w:r>
      <w:r w:rsidR="00A82406">
        <w:rPr>
          <w:sz w:val="28"/>
        </w:rPr>
        <w:t>еестр контрактов не направлена</w:t>
      </w:r>
      <w:r w:rsidR="003674BA" w:rsidRPr="003674BA">
        <w:rPr>
          <w:sz w:val="28"/>
        </w:rPr>
        <w:t xml:space="preserve"> или направлена с нарушением установленного срока</w:t>
      </w:r>
      <w:r w:rsidR="00A82406">
        <w:rPr>
          <w:sz w:val="28"/>
        </w:rPr>
        <w:t>;</w:t>
      </w:r>
      <w:r w:rsidR="003674BA" w:rsidRPr="003674BA">
        <w:rPr>
          <w:sz w:val="28"/>
        </w:rPr>
        <w:t xml:space="preserve"> </w:t>
      </w:r>
    </w:p>
    <w:p w:rsidR="003674BA" w:rsidRDefault="00386671" w:rsidP="003674BA">
      <w:pPr>
        <w:ind w:firstLine="709"/>
        <w:jc w:val="both"/>
        <w:rPr>
          <w:sz w:val="28"/>
        </w:rPr>
      </w:pPr>
      <w:r>
        <w:rPr>
          <w:sz w:val="28"/>
        </w:rPr>
        <w:t>- в</w:t>
      </w:r>
      <w:r w:rsidR="003674BA" w:rsidRPr="003674BA">
        <w:rPr>
          <w:sz w:val="28"/>
        </w:rPr>
        <w:t xml:space="preserve"> нарушение части 2 статьи 34, статьи 95 Закона о контрактной системе заключено дополнительное соглашение об изменении вида работ в рамках контракта.  </w:t>
      </w:r>
    </w:p>
    <w:p w:rsidR="005D0FB8" w:rsidRDefault="006B3015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386671" w:rsidRPr="00386671">
        <w:rPr>
          <w:sz w:val="28"/>
        </w:rPr>
        <w:t>. На объекте</w:t>
      </w:r>
      <w:r w:rsidR="00386671">
        <w:rPr>
          <w:sz w:val="28"/>
        </w:rPr>
        <w:t xml:space="preserve"> </w:t>
      </w:r>
      <w:r w:rsidR="00386671" w:rsidRPr="00386671">
        <w:rPr>
          <w:sz w:val="28"/>
        </w:rPr>
        <w:t>НГ</w:t>
      </w:r>
      <w:r w:rsidR="0071065C">
        <w:rPr>
          <w:sz w:val="28"/>
        </w:rPr>
        <w:t xml:space="preserve"> </w:t>
      </w:r>
      <w:r w:rsidR="00386671" w:rsidRPr="00386671">
        <w:rPr>
          <w:sz w:val="28"/>
        </w:rPr>
        <w:t>МКУ КХ «СЕЗ»:</w:t>
      </w:r>
    </w:p>
    <w:p w:rsidR="00386671" w:rsidRDefault="00386671" w:rsidP="000B0091">
      <w:pPr>
        <w:ind w:firstLine="709"/>
        <w:jc w:val="both"/>
        <w:rPr>
          <w:sz w:val="28"/>
        </w:rPr>
      </w:pPr>
      <w:r w:rsidRPr="00386671">
        <w:rPr>
          <w:sz w:val="28"/>
        </w:rPr>
        <w:t xml:space="preserve">В нарушение части 3 статьи 103 </w:t>
      </w:r>
      <w:r w:rsidR="000B0091" w:rsidRPr="000B0091">
        <w:rPr>
          <w:sz w:val="28"/>
        </w:rPr>
        <w:t>Закона о контрактной системе</w:t>
      </w:r>
      <w:r w:rsidRPr="00386671">
        <w:rPr>
          <w:sz w:val="28"/>
        </w:rPr>
        <w:t xml:space="preserve">, пункта 12 </w:t>
      </w:r>
      <w:r w:rsidR="006B3015">
        <w:rPr>
          <w:sz w:val="28"/>
        </w:rPr>
        <w:t xml:space="preserve">Порядка </w:t>
      </w:r>
      <w:r w:rsidRPr="00386671">
        <w:rPr>
          <w:sz w:val="28"/>
        </w:rPr>
        <w:t>информация о внесённых</w:t>
      </w:r>
      <w:r w:rsidR="006B3015">
        <w:rPr>
          <w:sz w:val="28"/>
        </w:rPr>
        <w:t xml:space="preserve"> изменениях в условия контрактов </w:t>
      </w:r>
      <w:r w:rsidRPr="00386671">
        <w:rPr>
          <w:sz w:val="28"/>
        </w:rPr>
        <w:t>в реестр контрактов направлена с нарушением установленного срока.</w:t>
      </w:r>
    </w:p>
    <w:p w:rsidR="006B3015" w:rsidRDefault="006B3015" w:rsidP="006B3015">
      <w:pPr>
        <w:ind w:firstLine="709"/>
        <w:jc w:val="both"/>
        <w:rPr>
          <w:sz w:val="28"/>
        </w:rPr>
      </w:pPr>
      <w:r w:rsidRPr="006B3015">
        <w:rPr>
          <w:sz w:val="28"/>
        </w:rPr>
        <w:t>По результатам проведённого аудита на объекта</w:t>
      </w:r>
      <w:r>
        <w:rPr>
          <w:sz w:val="28"/>
        </w:rPr>
        <w:t>х</w:t>
      </w:r>
      <w:r w:rsidRPr="006B3015">
        <w:rPr>
          <w:sz w:val="28"/>
        </w:rPr>
        <w:t xml:space="preserve"> сделан вывод</w:t>
      </w:r>
      <w:r>
        <w:rPr>
          <w:sz w:val="28"/>
        </w:rPr>
        <w:t xml:space="preserve"> о том, что в</w:t>
      </w:r>
      <w:r w:rsidRPr="006B3015">
        <w:rPr>
          <w:sz w:val="28"/>
        </w:rPr>
        <w:t>ыявленные нарушения явля</w:t>
      </w:r>
      <w:r>
        <w:rPr>
          <w:sz w:val="28"/>
        </w:rPr>
        <w:t>ю</w:t>
      </w:r>
      <w:r w:rsidRPr="006B3015">
        <w:rPr>
          <w:sz w:val="28"/>
        </w:rPr>
        <w:t>тся следствием несвоевременного исполнения обязанностей, возложенных на должностных лиц</w:t>
      </w:r>
      <w:r>
        <w:rPr>
          <w:sz w:val="28"/>
        </w:rPr>
        <w:t xml:space="preserve"> объектов контроля</w:t>
      </w:r>
      <w:r w:rsidRPr="006B3015">
        <w:rPr>
          <w:sz w:val="28"/>
        </w:rPr>
        <w:t>.</w:t>
      </w:r>
    </w:p>
    <w:p w:rsidR="000C0FDA" w:rsidRDefault="000C0FDA" w:rsidP="006B3015">
      <w:pPr>
        <w:ind w:firstLine="709"/>
        <w:jc w:val="center"/>
        <w:rPr>
          <w:b/>
          <w:i/>
          <w:sz w:val="28"/>
        </w:rPr>
      </w:pPr>
    </w:p>
    <w:p w:rsidR="00C551A8" w:rsidRDefault="00C551A8" w:rsidP="006B3015">
      <w:pPr>
        <w:ind w:firstLine="709"/>
        <w:jc w:val="center"/>
        <w:rPr>
          <w:b/>
          <w:i/>
          <w:sz w:val="28"/>
        </w:rPr>
      </w:pPr>
    </w:p>
    <w:p w:rsidR="00C551A8" w:rsidRDefault="00C551A8" w:rsidP="006B3015">
      <w:pPr>
        <w:ind w:firstLine="709"/>
        <w:jc w:val="center"/>
        <w:rPr>
          <w:b/>
          <w:i/>
          <w:sz w:val="28"/>
        </w:rPr>
      </w:pPr>
    </w:p>
    <w:p w:rsidR="00C551A8" w:rsidRDefault="00C551A8" w:rsidP="006B3015">
      <w:pPr>
        <w:ind w:firstLine="709"/>
        <w:jc w:val="center"/>
        <w:rPr>
          <w:b/>
          <w:i/>
          <w:sz w:val="28"/>
        </w:rPr>
      </w:pPr>
    </w:p>
    <w:p w:rsidR="00C551A8" w:rsidRDefault="00C551A8" w:rsidP="006B3015">
      <w:pPr>
        <w:ind w:firstLine="709"/>
        <w:jc w:val="center"/>
        <w:rPr>
          <w:b/>
          <w:i/>
          <w:sz w:val="28"/>
        </w:rPr>
      </w:pPr>
    </w:p>
    <w:p w:rsidR="006B3015" w:rsidRPr="006B3015" w:rsidRDefault="006B3015" w:rsidP="006B3015">
      <w:pPr>
        <w:ind w:firstLine="709"/>
        <w:jc w:val="center"/>
        <w:rPr>
          <w:b/>
          <w:i/>
          <w:sz w:val="28"/>
        </w:rPr>
      </w:pPr>
      <w:r w:rsidRPr="006B3015">
        <w:rPr>
          <w:b/>
          <w:i/>
          <w:sz w:val="28"/>
        </w:rPr>
        <w:lastRenderedPageBreak/>
        <w:t>1.2. «Проверка законности, результативности (эффективности и экономности) использования средств бюджета города Нефтеюганска на реализацию мероприятия «Строительство (реконструкция), капитальный ремонт автомобильных дорог общего пользования местного значения» муниципальной программы</w:t>
      </w:r>
    </w:p>
    <w:p w:rsidR="006B3015" w:rsidRPr="006B3015" w:rsidRDefault="006B3015" w:rsidP="006B3015">
      <w:pPr>
        <w:ind w:firstLine="709"/>
        <w:jc w:val="center"/>
        <w:rPr>
          <w:b/>
          <w:i/>
          <w:sz w:val="28"/>
        </w:rPr>
      </w:pPr>
      <w:r w:rsidRPr="006B3015">
        <w:rPr>
          <w:b/>
          <w:i/>
          <w:sz w:val="28"/>
        </w:rPr>
        <w:t>«Развитие транспортной системы города Нефтеюганска»</w:t>
      </w:r>
    </w:p>
    <w:p w:rsidR="001012F6" w:rsidRDefault="006B3015" w:rsidP="006B3015">
      <w:pPr>
        <w:ind w:firstLine="709"/>
        <w:jc w:val="both"/>
        <w:rPr>
          <w:sz w:val="28"/>
        </w:rPr>
      </w:pPr>
      <w:r>
        <w:rPr>
          <w:b/>
          <w:i/>
          <w:sz w:val="28"/>
        </w:rPr>
        <w:t xml:space="preserve"> </w:t>
      </w:r>
    </w:p>
    <w:p w:rsidR="006B3015" w:rsidRDefault="006B3015" w:rsidP="006B3015">
      <w:pPr>
        <w:ind w:firstLine="709"/>
        <w:jc w:val="both"/>
        <w:rPr>
          <w:sz w:val="28"/>
        </w:rPr>
      </w:pPr>
      <w:r>
        <w:rPr>
          <w:sz w:val="28"/>
        </w:rPr>
        <w:t>Контрольное мероприятие проведено на объектах: ДГиЗО,</w:t>
      </w:r>
      <w:r w:rsidRPr="006B3015">
        <w:t xml:space="preserve"> </w:t>
      </w:r>
      <w:r>
        <w:br/>
      </w:r>
      <w:r w:rsidRPr="006B3015">
        <w:rPr>
          <w:sz w:val="28"/>
        </w:rPr>
        <w:t>МКУ «УКС»</w:t>
      </w:r>
      <w:r>
        <w:rPr>
          <w:sz w:val="28"/>
        </w:rPr>
        <w:t>.</w:t>
      </w:r>
    </w:p>
    <w:p w:rsidR="004A5604" w:rsidRDefault="004A5604" w:rsidP="006B3015">
      <w:pPr>
        <w:ind w:firstLine="709"/>
        <w:jc w:val="both"/>
        <w:rPr>
          <w:sz w:val="28"/>
        </w:rPr>
      </w:pPr>
      <w:r>
        <w:rPr>
          <w:sz w:val="28"/>
        </w:rPr>
        <w:t>На объекте МКУ «УКС»</w:t>
      </w:r>
      <w:r w:rsidR="000F3DE6">
        <w:rPr>
          <w:sz w:val="28"/>
        </w:rPr>
        <w:t xml:space="preserve"> установлено</w:t>
      </w:r>
      <w:r w:rsidR="00E81509">
        <w:rPr>
          <w:sz w:val="28"/>
        </w:rPr>
        <w:t>.</w:t>
      </w:r>
    </w:p>
    <w:p w:rsidR="00E81509" w:rsidRDefault="00E81509" w:rsidP="00E81509">
      <w:pPr>
        <w:ind w:firstLine="709"/>
        <w:jc w:val="both"/>
        <w:rPr>
          <w:sz w:val="28"/>
        </w:rPr>
      </w:pPr>
      <w:r>
        <w:rPr>
          <w:sz w:val="28"/>
        </w:rPr>
        <w:t>В целях выполнения работ по строительству разработана  проектно-сметная документация</w:t>
      </w:r>
      <w:r w:rsidR="00C551A8">
        <w:rPr>
          <w:sz w:val="28"/>
        </w:rPr>
        <w:t xml:space="preserve"> (далее - ПСД)</w:t>
      </w:r>
      <w:r>
        <w:rPr>
          <w:sz w:val="28"/>
        </w:rPr>
        <w:t xml:space="preserve">, прошедшая государственную экспертизу. </w:t>
      </w:r>
    </w:p>
    <w:p w:rsidR="00B36F29" w:rsidRPr="009F7B38" w:rsidRDefault="004A5604" w:rsidP="006B3015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Pr="004A5604">
        <w:rPr>
          <w:sz w:val="28"/>
        </w:rPr>
        <w:t xml:space="preserve">Между МКУ «УКС» и Обществом с ограниченной ответственностью Строительной компанией «ЮВиС» (далее – ООО </w:t>
      </w:r>
      <w:r w:rsidR="00DD3177" w:rsidRPr="004A5604">
        <w:rPr>
          <w:sz w:val="28"/>
        </w:rPr>
        <w:t>СК «</w:t>
      </w:r>
      <w:r w:rsidRPr="004A5604">
        <w:rPr>
          <w:sz w:val="28"/>
        </w:rPr>
        <w:t>ЮВ и С</w:t>
      </w:r>
      <w:r w:rsidR="00DD3177" w:rsidRPr="004A5604">
        <w:rPr>
          <w:sz w:val="28"/>
        </w:rPr>
        <w:t>») заключен муниципальный</w:t>
      </w:r>
      <w:r w:rsidRPr="004A5604">
        <w:rPr>
          <w:sz w:val="28"/>
        </w:rPr>
        <w:t xml:space="preserve"> контракт (далее – контракт) </w:t>
      </w:r>
      <w:r>
        <w:rPr>
          <w:sz w:val="28"/>
        </w:rPr>
        <w:t xml:space="preserve">на </w:t>
      </w:r>
      <w:r w:rsidRPr="004A5604">
        <w:rPr>
          <w:sz w:val="28"/>
        </w:rPr>
        <w:t>выполнение строительно-монтажных работ по объекту «Дорога № 5 (ул. Киевская (от ул. Парковая до ул. Объездная-1) (от ул. Парковая до ул. Жилая)» (далее – Объект)</w:t>
      </w:r>
      <w:r>
        <w:rPr>
          <w:sz w:val="28"/>
        </w:rPr>
        <w:t>.</w:t>
      </w:r>
    </w:p>
    <w:p w:rsidR="00E81509" w:rsidRDefault="00E81509" w:rsidP="006B3015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Pr="00E81509">
        <w:rPr>
          <w:sz w:val="28"/>
        </w:rPr>
        <w:t xml:space="preserve"> </w:t>
      </w:r>
      <w:r>
        <w:rPr>
          <w:sz w:val="28"/>
        </w:rPr>
        <w:t xml:space="preserve">ходе строительства возникла необходимость в выполнении дополнительных работ, в связи с чем, произведена корректировка </w:t>
      </w:r>
      <w:r w:rsidR="00C551A8">
        <w:rPr>
          <w:sz w:val="28"/>
        </w:rPr>
        <w:t>ПСД</w:t>
      </w:r>
      <w:r>
        <w:rPr>
          <w:sz w:val="28"/>
        </w:rPr>
        <w:t>.</w:t>
      </w:r>
    </w:p>
    <w:p w:rsidR="00DF38C1" w:rsidRPr="00DF38C1" w:rsidRDefault="00E81509" w:rsidP="00DF38C1">
      <w:pPr>
        <w:ind w:firstLine="709"/>
        <w:jc w:val="both"/>
        <w:rPr>
          <w:sz w:val="28"/>
        </w:rPr>
      </w:pPr>
      <w:r>
        <w:rPr>
          <w:sz w:val="28"/>
        </w:rPr>
        <w:t>Р</w:t>
      </w:r>
      <w:r w:rsidR="008C69FB">
        <w:rPr>
          <w:sz w:val="28"/>
        </w:rPr>
        <w:t>аботы по строительству Объекта</w:t>
      </w:r>
      <w:r>
        <w:rPr>
          <w:sz w:val="28"/>
        </w:rPr>
        <w:t xml:space="preserve"> осуществлялись в соответствии </w:t>
      </w:r>
      <w:r w:rsidR="00C551A8">
        <w:rPr>
          <w:sz w:val="28"/>
        </w:rPr>
        <w:t>с утверждённой ПСД, п</w:t>
      </w:r>
      <w:r>
        <w:rPr>
          <w:sz w:val="28"/>
        </w:rPr>
        <w:t xml:space="preserve">ри этом, </w:t>
      </w:r>
      <w:r w:rsidR="00DF38C1" w:rsidRPr="00DF38C1">
        <w:rPr>
          <w:sz w:val="28"/>
        </w:rPr>
        <w:t xml:space="preserve">в рамках исполнения контракта </w:t>
      </w:r>
      <w:r w:rsidRPr="00DF38C1">
        <w:rPr>
          <w:sz w:val="28"/>
        </w:rPr>
        <w:t xml:space="preserve">МКУ «УКС» </w:t>
      </w:r>
      <w:r w:rsidR="00DF38C1" w:rsidRPr="00DF38C1">
        <w:rPr>
          <w:sz w:val="28"/>
        </w:rPr>
        <w:t xml:space="preserve">приняло и оплатило </w:t>
      </w:r>
      <w:r w:rsidR="00A20F50">
        <w:rPr>
          <w:sz w:val="28"/>
        </w:rPr>
        <w:t>фактически невыполненные работы</w:t>
      </w:r>
      <w:r w:rsidR="00DF38C1" w:rsidRPr="00DF38C1">
        <w:rPr>
          <w:sz w:val="28"/>
        </w:rPr>
        <w:t>, а именно:</w:t>
      </w:r>
    </w:p>
    <w:p w:rsidR="00DF38C1" w:rsidRPr="00DF38C1" w:rsidRDefault="000F3DE6" w:rsidP="00F4183F">
      <w:pPr>
        <w:ind w:firstLine="709"/>
        <w:jc w:val="both"/>
        <w:rPr>
          <w:sz w:val="28"/>
        </w:rPr>
      </w:pPr>
      <w:r>
        <w:rPr>
          <w:sz w:val="28"/>
        </w:rPr>
        <w:t>1.</w:t>
      </w:r>
      <w:r w:rsidR="00DF38C1" w:rsidRPr="00DF38C1">
        <w:rPr>
          <w:sz w:val="28"/>
        </w:rPr>
        <w:t xml:space="preserve"> </w:t>
      </w:r>
      <w:r>
        <w:rPr>
          <w:sz w:val="28"/>
        </w:rPr>
        <w:t>З</w:t>
      </w:r>
      <w:r w:rsidR="00A20F50">
        <w:rPr>
          <w:sz w:val="28"/>
        </w:rPr>
        <w:t>емляные работы</w:t>
      </w:r>
      <w:r>
        <w:rPr>
          <w:sz w:val="28"/>
        </w:rPr>
        <w:t xml:space="preserve"> п</w:t>
      </w:r>
      <w:r w:rsidR="00F4183F" w:rsidRPr="00F4183F">
        <w:rPr>
          <w:sz w:val="28"/>
        </w:rPr>
        <w:t>о планиро</w:t>
      </w:r>
      <w:r w:rsidR="00F4183F">
        <w:rPr>
          <w:sz w:val="28"/>
        </w:rPr>
        <w:t xml:space="preserve">вке почвы в объёме 374,22 кв. м, </w:t>
      </w:r>
      <w:r w:rsidR="00A82406">
        <w:rPr>
          <w:sz w:val="28"/>
        </w:rPr>
        <w:t>так как</w:t>
      </w:r>
      <w:r w:rsidR="00F4183F">
        <w:rPr>
          <w:sz w:val="28"/>
        </w:rPr>
        <w:t xml:space="preserve"> приняты и оплачены работы по </w:t>
      </w:r>
      <w:r w:rsidR="00F4183F" w:rsidRPr="00F4183F">
        <w:rPr>
          <w:sz w:val="28"/>
        </w:rPr>
        <w:t>выемк</w:t>
      </w:r>
      <w:r w:rsidR="00F4183F">
        <w:rPr>
          <w:sz w:val="28"/>
        </w:rPr>
        <w:t>е</w:t>
      </w:r>
      <w:r w:rsidR="00F4183F" w:rsidRPr="00F4183F">
        <w:rPr>
          <w:sz w:val="28"/>
        </w:rPr>
        <w:t xml:space="preserve"> грунта </w:t>
      </w:r>
      <w:r w:rsidR="00F4183F">
        <w:rPr>
          <w:sz w:val="28"/>
        </w:rPr>
        <w:t>на земельном участке, предназначенном для устройства газонов (</w:t>
      </w:r>
      <w:r w:rsidR="00F4183F" w:rsidRPr="00F4183F">
        <w:rPr>
          <w:sz w:val="28"/>
        </w:rPr>
        <w:t>выемк</w:t>
      </w:r>
      <w:r w:rsidR="00F4183F">
        <w:rPr>
          <w:sz w:val="28"/>
        </w:rPr>
        <w:t>у</w:t>
      </w:r>
      <w:r w:rsidR="00F4183F" w:rsidRPr="00F4183F">
        <w:rPr>
          <w:sz w:val="28"/>
        </w:rPr>
        <w:t xml:space="preserve"> грунта производить не требуется, так как отсутств</w:t>
      </w:r>
      <w:r w:rsidR="00F4183F">
        <w:rPr>
          <w:sz w:val="28"/>
        </w:rPr>
        <w:t>ует нагрузка на полосы движения, данные работы производятся д</w:t>
      </w:r>
      <w:r w:rsidR="00F4183F" w:rsidRPr="00F4183F">
        <w:rPr>
          <w:sz w:val="28"/>
        </w:rPr>
        <w:t>ля последующей укладки щебня, песка, асфальтобетонного покрытия</w:t>
      </w:r>
      <w:r w:rsidR="00F4183F">
        <w:rPr>
          <w:sz w:val="28"/>
        </w:rPr>
        <w:t>)</w:t>
      </w:r>
      <w:r w:rsidR="00F4183F" w:rsidRPr="00F4183F">
        <w:rPr>
          <w:sz w:val="28"/>
        </w:rPr>
        <w:t xml:space="preserve">. </w:t>
      </w:r>
    </w:p>
    <w:p w:rsidR="000F3DE6" w:rsidRPr="000F3DE6" w:rsidRDefault="000F3DE6" w:rsidP="000F3DE6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DF38C1" w:rsidRPr="00DF38C1">
        <w:rPr>
          <w:sz w:val="28"/>
        </w:rPr>
        <w:t xml:space="preserve"> </w:t>
      </w:r>
      <w:r>
        <w:rPr>
          <w:sz w:val="28"/>
        </w:rPr>
        <w:t>В</w:t>
      </w:r>
      <w:r w:rsidR="00A20F50">
        <w:rPr>
          <w:sz w:val="28"/>
        </w:rPr>
        <w:t>несение удобрений и посев семян</w:t>
      </w:r>
      <w:r w:rsidR="00DF38C1" w:rsidRPr="00DF38C1">
        <w:rPr>
          <w:sz w:val="28"/>
        </w:rPr>
        <w:t>.</w:t>
      </w:r>
      <w:r>
        <w:rPr>
          <w:sz w:val="28"/>
        </w:rPr>
        <w:t xml:space="preserve"> </w:t>
      </w:r>
      <w:r w:rsidRPr="000F3DE6">
        <w:rPr>
          <w:sz w:val="28"/>
        </w:rPr>
        <w:t xml:space="preserve">В рамках проведения контрольного мероприятия </w:t>
      </w:r>
      <w:r w:rsidR="00D85BBA" w:rsidRPr="00D85BBA">
        <w:rPr>
          <w:sz w:val="28"/>
        </w:rPr>
        <w:t xml:space="preserve">21.05.2020 года </w:t>
      </w:r>
      <w:r w:rsidRPr="000F3DE6">
        <w:rPr>
          <w:sz w:val="28"/>
        </w:rPr>
        <w:t xml:space="preserve">произведён визуальный осмотр Объекта, при котором установлено: </w:t>
      </w:r>
    </w:p>
    <w:p w:rsidR="000F3DE6" w:rsidRPr="000F3DE6" w:rsidRDefault="000F3DE6" w:rsidP="000F3DE6">
      <w:pPr>
        <w:ind w:firstLine="709"/>
        <w:jc w:val="both"/>
        <w:rPr>
          <w:sz w:val="28"/>
        </w:rPr>
      </w:pPr>
      <w:r w:rsidRPr="000F3DE6">
        <w:rPr>
          <w:sz w:val="28"/>
        </w:rPr>
        <w:t>- отсутствие озеленения газонов, при этом на газоне находились две дорожные плиты, местами насыпан щебень;</w:t>
      </w:r>
    </w:p>
    <w:p w:rsidR="000F3DE6" w:rsidRPr="000F3DE6" w:rsidRDefault="000F3DE6" w:rsidP="00A82406">
      <w:pPr>
        <w:ind w:firstLine="709"/>
        <w:jc w:val="both"/>
        <w:rPr>
          <w:sz w:val="28"/>
        </w:rPr>
      </w:pPr>
      <w:r w:rsidRPr="000F3DE6">
        <w:rPr>
          <w:sz w:val="28"/>
        </w:rPr>
        <w:t>- в двух местах отсутствовало покрытие из асфальтобетона тротуар</w:t>
      </w:r>
      <w:r w:rsidR="00A82406">
        <w:rPr>
          <w:sz w:val="28"/>
        </w:rPr>
        <w:t>ов площадью 6 кв. м и 1,5 кв. м</w:t>
      </w:r>
      <w:r w:rsidRPr="000F3DE6">
        <w:rPr>
          <w:sz w:val="28"/>
        </w:rPr>
        <w:t>.</w:t>
      </w:r>
    </w:p>
    <w:p w:rsidR="000F3DE6" w:rsidRDefault="000F3DE6" w:rsidP="000F3DE6">
      <w:pPr>
        <w:ind w:firstLine="709"/>
        <w:jc w:val="both"/>
        <w:rPr>
          <w:sz w:val="28"/>
        </w:rPr>
      </w:pPr>
      <w:r w:rsidRPr="000F3DE6">
        <w:rPr>
          <w:sz w:val="28"/>
        </w:rPr>
        <w:t>В журнале общих работ, который является непосредственным подтверждением выполнения работ, отсутствовала информация о внесении удобрений и посадке семян.</w:t>
      </w:r>
    </w:p>
    <w:p w:rsidR="000F3DE6" w:rsidRPr="000F3DE6" w:rsidRDefault="000F3DE6" w:rsidP="00A82406">
      <w:pPr>
        <w:ind w:firstLine="709"/>
        <w:jc w:val="both"/>
        <w:rPr>
          <w:sz w:val="28"/>
        </w:rPr>
      </w:pPr>
      <w:r w:rsidRPr="000F3DE6">
        <w:rPr>
          <w:sz w:val="28"/>
        </w:rPr>
        <w:t xml:space="preserve">Согласно акту о приёмке выполненных работ </w:t>
      </w:r>
      <w:r w:rsidR="001A2D18">
        <w:rPr>
          <w:sz w:val="28"/>
        </w:rPr>
        <w:t>по в</w:t>
      </w:r>
      <w:r w:rsidR="001A2D18" w:rsidRPr="000F3DE6">
        <w:rPr>
          <w:sz w:val="28"/>
        </w:rPr>
        <w:t>несени</w:t>
      </w:r>
      <w:r w:rsidR="001A2D18">
        <w:rPr>
          <w:sz w:val="28"/>
        </w:rPr>
        <w:t>ю</w:t>
      </w:r>
      <w:r w:rsidR="001A2D18" w:rsidRPr="000F3DE6">
        <w:rPr>
          <w:sz w:val="28"/>
        </w:rPr>
        <w:t xml:space="preserve"> удобрений и посев</w:t>
      </w:r>
      <w:r w:rsidR="001A2D18">
        <w:rPr>
          <w:sz w:val="28"/>
        </w:rPr>
        <w:t>у</w:t>
      </w:r>
      <w:r w:rsidR="001A2D18" w:rsidRPr="000F3DE6">
        <w:rPr>
          <w:sz w:val="28"/>
        </w:rPr>
        <w:t xml:space="preserve"> семян </w:t>
      </w:r>
      <w:r w:rsidRPr="000F3DE6">
        <w:rPr>
          <w:sz w:val="28"/>
        </w:rPr>
        <w:t xml:space="preserve">отчётный период выполнения работ с 06.11.2019 года по 18.12.2019 года. Вместе с тем, по сведениям метеостанций в Нефтеюганске </w:t>
      </w:r>
      <w:r w:rsidR="000C0FDA">
        <w:rPr>
          <w:sz w:val="28"/>
        </w:rPr>
        <w:t>в ноябре месяце 2019 года</w:t>
      </w:r>
      <w:r w:rsidR="000C0FDA" w:rsidRPr="000F3DE6">
        <w:rPr>
          <w:sz w:val="28"/>
        </w:rPr>
        <w:t xml:space="preserve"> </w:t>
      </w:r>
      <w:r w:rsidRPr="000F3DE6">
        <w:rPr>
          <w:sz w:val="28"/>
        </w:rPr>
        <w:t>наблюдались следующие погодные усл</w:t>
      </w:r>
      <w:r w:rsidR="001A2D18">
        <w:rPr>
          <w:sz w:val="28"/>
        </w:rPr>
        <w:t xml:space="preserve">овия: </w:t>
      </w:r>
      <w:r w:rsidRPr="000F3DE6">
        <w:rPr>
          <w:sz w:val="28"/>
        </w:rPr>
        <w:t xml:space="preserve">температура воздуха максимальная 07 ноября +3°C, минимальная 25 ноября </w:t>
      </w:r>
      <w:r w:rsidR="00A82406">
        <w:rPr>
          <w:sz w:val="28"/>
        </w:rPr>
        <w:br/>
      </w:r>
      <w:r w:rsidRPr="000F3DE6">
        <w:rPr>
          <w:sz w:val="28"/>
        </w:rPr>
        <w:lastRenderedPageBreak/>
        <w:t>-33°C;</w:t>
      </w:r>
      <w:r w:rsidR="001A2D18">
        <w:rPr>
          <w:sz w:val="28"/>
        </w:rPr>
        <w:t xml:space="preserve"> </w:t>
      </w:r>
      <w:r w:rsidRPr="000F3DE6">
        <w:rPr>
          <w:sz w:val="28"/>
        </w:rPr>
        <w:t>высота снега минимальная 01 ноября – 11 см, максимальная с 27 ноября – 33 см.</w:t>
      </w:r>
    </w:p>
    <w:p w:rsidR="000F3DE6" w:rsidRPr="000F3DE6" w:rsidRDefault="000F3DE6" w:rsidP="000F3DE6">
      <w:pPr>
        <w:ind w:firstLine="709"/>
        <w:jc w:val="both"/>
        <w:rPr>
          <w:sz w:val="28"/>
        </w:rPr>
      </w:pPr>
      <w:r w:rsidRPr="000F3DE6">
        <w:rPr>
          <w:sz w:val="28"/>
        </w:rPr>
        <w:t>Таким образом, учитывая погодные условия и наличие снежного покрова отсутствовала возможность внести удобрения и посеять семена.</w:t>
      </w:r>
    </w:p>
    <w:p w:rsidR="004F43B5" w:rsidRDefault="004F43B5" w:rsidP="004F43B5">
      <w:pPr>
        <w:ind w:firstLine="709"/>
        <w:jc w:val="both"/>
        <w:rPr>
          <w:sz w:val="28"/>
        </w:rPr>
      </w:pPr>
      <w:r w:rsidRPr="004F43B5">
        <w:rPr>
          <w:sz w:val="28"/>
        </w:rPr>
        <w:t>Согласно статье 306.4 БК РФ, данны</w:t>
      </w:r>
      <w:r w:rsidR="0071065C">
        <w:rPr>
          <w:sz w:val="28"/>
        </w:rPr>
        <w:t>е</w:t>
      </w:r>
      <w:r w:rsidRPr="004F43B5">
        <w:rPr>
          <w:sz w:val="28"/>
        </w:rPr>
        <w:t xml:space="preserve"> факт</w:t>
      </w:r>
      <w:r w:rsidR="0071065C">
        <w:rPr>
          <w:sz w:val="28"/>
        </w:rPr>
        <w:t>ы содержа</w:t>
      </w:r>
      <w:r w:rsidRPr="004F43B5">
        <w:rPr>
          <w:sz w:val="28"/>
        </w:rPr>
        <w:t>т признаки нецелевого</w:t>
      </w:r>
      <w:r>
        <w:rPr>
          <w:sz w:val="28"/>
        </w:rPr>
        <w:t xml:space="preserve"> расходования бюджетных средств, ответственность за которое предусмотрена статьёй 15.14 Кодекса Российской Федерации об административных правонарушениях. В отношении директора МКУ «УКС» мировым судьёй принято постановление о назначении административного наказания </w:t>
      </w:r>
      <w:r w:rsidR="009F7B38">
        <w:rPr>
          <w:sz w:val="28"/>
        </w:rPr>
        <w:t>в виде административного штрафа</w:t>
      </w:r>
      <w:r>
        <w:rPr>
          <w:sz w:val="28"/>
        </w:rPr>
        <w:t xml:space="preserve">. </w:t>
      </w:r>
    </w:p>
    <w:p w:rsidR="00A1557B" w:rsidRDefault="00A82406" w:rsidP="00A1557B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="00A1557B">
        <w:rPr>
          <w:sz w:val="28"/>
        </w:rPr>
        <w:t xml:space="preserve">огласно информации МКУ «УКС», подрядчиком выполнены работы по устранению недостатков, обнаруженных в период гарантийного срока: восстановлено озеленение объекта с устройством растительного слоя грунта, планировкой, внесением удобрений и семян газонных трав. </w:t>
      </w:r>
    </w:p>
    <w:p w:rsidR="004F43B5" w:rsidRDefault="004F43B5" w:rsidP="004F43B5">
      <w:pPr>
        <w:ind w:firstLine="709"/>
        <w:jc w:val="both"/>
        <w:rPr>
          <w:sz w:val="28"/>
        </w:rPr>
      </w:pPr>
      <w:r>
        <w:rPr>
          <w:sz w:val="28"/>
        </w:rPr>
        <w:t xml:space="preserve">В адрес МКУ «УКС» направлено представление для </w:t>
      </w:r>
      <w:r w:rsidRPr="004F43B5">
        <w:rPr>
          <w:sz w:val="28"/>
        </w:rPr>
        <w:t>принятия мер по устранению выявленных нарушений и недостатков</w:t>
      </w:r>
      <w:r w:rsidR="000C0FDA">
        <w:rPr>
          <w:sz w:val="28"/>
        </w:rPr>
        <w:t>,</w:t>
      </w:r>
      <w:r>
        <w:rPr>
          <w:sz w:val="28"/>
        </w:rPr>
        <w:t xml:space="preserve"> привлечению к  дисциплинарной ответственности лиц, виновных в допущенных нарушениях. </w:t>
      </w:r>
    </w:p>
    <w:p w:rsidR="000F3DE6" w:rsidRDefault="000F3DE6" w:rsidP="005D0FB8">
      <w:pPr>
        <w:ind w:firstLine="709"/>
        <w:jc w:val="both"/>
        <w:rPr>
          <w:b/>
          <w:i/>
          <w:sz w:val="28"/>
        </w:rPr>
      </w:pPr>
    </w:p>
    <w:p w:rsidR="005D0FB8" w:rsidRPr="005D0FB8" w:rsidRDefault="005D0FB8" w:rsidP="005D0FB8">
      <w:pPr>
        <w:ind w:firstLine="709"/>
        <w:jc w:val="both"/>
        <w:rPr>
          <w:b/>
          <w:i/>
          <w:sz w:val="28"/>
        </w:rPr>
      </w:pPr>
      <w:r w:rsidRPr="005D0FB8">
        <w:rPr>
          <w:b/>
          <w:i/>
          <w:sz w:val="28"/>
        </w:rPr>
        <w:t>1.</w:t>
      </w:r>
      <w:r w:rsidR="000C0FDA">
        <w:rPr>
          <w:b/>
          <w:i/>
          <w:sz w:val="28"/>
        </w:rPr>
        <w:t>3</w:t>
      </w:r>
      <w:r w:rsidRPr="005D0FB8">
        <w:rPr>
          <w:b/>
          <w:i/>
          <w:sz w:val="28"/>
        </w:rPr>
        <w:t>. Внешняя проверка годовой бюджетной отчётности главных администраторов бюджетных средств</w:t>
      </w:r>
    </w:p>
    <w:p w:rsidR="005D0FB8" w:rsidRPr="005D0FB8" w:rsidRDefault="005D0FB8" w:rsidP="005D0FB8">
      <w:pPr>
        <w:ind w:firstLine="709"/>
        <w:jc w:val="both"/>
        <w:rPr>
          <w:sz w:val="28"/>
        </w:rPr>
      </w:pPr>
    </w:p>
    <w:p w:rsidR="00BD6259" w:rsidRPr="00BD6259" w:rsidRDefault="00BD6259" w:rsidP="00BD6259">
      <w:pPr>
        <w:tabs>
          <w:tab w:val="left" w:pos="284"/>
        </w:tabs>
        <w:ind w:firstLine="709"/>
        <w:jc w:val="both"/>
        <w:rPr>
          <w:sz w:val="28"/>
        </w:rPr>
      </w:pPr>
      <w:r w:rsidRPr="00BD6259">
        <w:rPr>
          <w:sz w:val="28"/>
        </w:rPr>
        <w:t>Проведена внешняя проверка бюджетной отчётности за 2019 год 10 главных администраторов бюджетных средств (далее по тексту – Г</w:t>
      </w:r>
      <w:r w:rsidR="00A82406">
        <w:rPr>
          <w:sz w:val="28"/>
        </w:rPr>
        <w:t>А</w:t>
      </w:r>
      <w:r w:rsidRPr="00BD6259">
        <w:rPr>
          <w:sz w:val="28"/>
        </w:rPr>
        <w:t xml:space="preserve">БС), подготовлено 10 актов, составлено 10 отчётов. </w:t>
      </w:r>
    </w:p>
    <w:p w:rsidR="00A82406" w:rsidRDefault="00BD6259" w:rsidP="00BD6259">
      <w:pPr>
        <w:tabs>
          <w:tab w:val="left" w:pos="284"/>
        </w:tabs>
        <w:ind w:firstLine="709"/>
        <w:jc w:val="both"/>
        <w:rPr>
          <w:sz w:val="28"/>
        </w:rPr>
      </w:pPr>
      <w:r w:rsidRPr="00BD6259">
        <w:rPr>
          <w:sz w:val="28"/>
        </w:rPr>
        <w:t>В ходе проверки бюджетной отчётности ГАБС установлены</w:t>
      </w:r>
      <w:r w:rsidR="00A82406">
        <w:rPr>
          <w:sz w:val="28"/>
        </w:rPr>
        <w:t>:</w:t>
      </w:r>
    </w:p>
    <w:p w:rsidR="00A82406" w:rsidRDefault="00A82406" w:rsidP="00BD6259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1.</w:t>
      </w:r>
      <w:r w:rsidR="00BD6259" w:rsidRPr="00BD6259">
        <w:rPr>
          <w:sz w:val="28"/>
        </w:rPr>
        <w:t xml:space="preserve"> </w:t>
      </w:r>
      <w:r>
        <w:rPr>
          <w:sz w:val="28"/>
        </w:rPr>
        <w:t>Нарушение</w:t>
      </w:r>
      <w:r w:rsidR="00BD6259" w:rsidRPr="00BD6259">
        <w:rPr>
          <w:sz w:val="28"/>
        </w:rPr>
        <w:t xml:space="preserve"> Инструкции № 191н</w:t>
      </w:r>
      <w:r w:rsidR="001A24B7">
        <w:rPr>
          <w:rStyle w:val="af9"/>
          <w:sz w:val="28"/>
        </w:rPr>
        <w:footnoteReference w:id="6"/>
      </w:r>
      <w:r w:rsidR="00BD6259" w:rsidRPr="00BD6259">
        <w:rPr>
          <w:sz w:val="28"/>
        </w:rPr>
        <w:t xml:space="preserve">. </w:t>
      </w:r>
    </w:p>
    <w:p w:rsidR="00BD6259" w:rsidRPr="00BD6259" w:rsidRDefault="00A82406" w:rsidP="00BD6259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2</w:t>
      </w:r>
      <w:r w:rsidR="00BD6259" w:rsidRPr="00BD6259">
        <w:rPr>
          <w:sz w:val="28"/>
        </w:rPr>
        <w:t xml:space="preserve">. Использование бюджетных средств на оплату судебных издержек, </w:t>
      </w:r>
      <w:r w:rsidRPr="00BD6259">
        <w:rPr>
          <w:sz w:val="28"/>
        </w:rPr>
        <w:t>административных штрафов, исполнительских сборов и пеней</w:t>
      </w:r>
      <w:r>
        <w:rPr>
          <w:sz w:val="28"/>
        </w:rPr>
        <w:t>,</w:t>
      </w:r>
      <w:r w:rsidRPr="00BD6259">
        <w:rPr>
          <w:sz w:val="28"/>
        </w:rPr>
        <w:t xml:space="preserve"> </w:t>
      </w:r>
      <w:r w:rsidR="00BD6259" w:rsidRPr="00BD6259">
        <w:rPr>
          <w:sz w:val="28"/>
        </w:rPr>
        <w:t>возмещение госпошлины по судебным искам, в общей сумме 13 364 774 рубля 30 копеек.</w:t>
      </w:r>
    </w:p>
    <w:p w:rsidR="00BD6259" w:rsidRPr="00BD6259" w:rsidRDefault="00A82406" w:rsidP="00BD6259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 w:rsidR="00BD6259" w:rsidRPr="00BD6259">
        <w:rPr>
          <w:sz w:val="28"/>
        </w:rPr>
        <w:t>. Не достигнут принцип эффективности использования бюджетных средств, установленный статьёй 34 Б</w:t>
      </w:r>
      <w:r w:rsidR="001A24B7">
        <w:rPr>
          <w:sz w:val="28"/>
        </w:rPr>
        <w:t>К РФ</w:t>
      </w:r>
      <w:r w:rsidR="00BD6259" w:rsidRPr="00BD6259">
        <w:rPr>
          <w:sz w:val="28"/>
        </w:rPr>
        <w:t xml:space="preserve">, а именно результативность от выполненных и оплаченных проектно-изыскательских работ на сумму </w:t>
      </w:r>
      <w:r w:rsidR="001A24B7">
        <w:rPr>
          <w:sz w:val="28"/>
        </w:rPr>
        <w:br/>
      </w:r>
      <w:r w:rsidR="00BD6259" w:rsidRPr="00BD6259">
        <w:rPr>
          <w:sz w:val="28"/>
        </w:rPr>
        <w:t>46 028 994 рубля 93 копейки, в связи с отсутствием их дальнейшей реализации.</w:t>
      </w:r>
    </w:p>
    <w:p w:rsidR="00BD6259" w:rsidRPr="00BD6259" w:rsidRDefault="00A82406" w:rsidP="00BD6259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4</w:t>
      </w:r>
      <w:r w:rsidR="00BD6259" w:rsidRPr="00BD6259">
        <w:rPr>
          <w:sz w:val="28"/>
        </w:rPr>
        <w:t xml:space="preserve">. Наличие просроченной дебиторской задолженности по арендной плате за пользование имуществом и аренде земельных участков в общей сумме </w:t>
      </w:r>
      <w:r w:rsidR="001A24B7">
        <w:rPr>
          <w:sz w:val="28"/>
        </w:rPr>
        <w:t>4</w:t>
      </w:r>
      <w:r w:rsidR="00BD6259" w:rsidRPr="00BD6259">
        <w:rPr>
          <w:sz w:val="28"/>
        </w:rPr>
        <w:t>34 504 804 рубля 73 копейки.</w:t>
      </w:r>
    </w:p>
    <w:p w:rsidR="00BD6259" w:rsidRPr="00BD6259" w:rsidRDefault="00A82406" w:rsidP="00BD6259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5</w:t>
      </w:r>
      <w:r w:rsidR="00BD6259" w:rsidRPr="00BD6259">
        <w:rPr>
          <w:sz w:val="28"/>
        </w:rPr>
        <w:t>. Нарушение требований Приказа № 157н</w:t>
      </w:r>
      <w:r w:rsidR="001A24B7">
        <w:rPr>
          <w:rStyle w:val="af9"/>
          <w:sz w:val="28"/>
        </w:rPr>
        <w:footnoteReference w:id="7"/>
      </w:r>
      <w:r w:rsidR="00BD6259" w:rsidRPr="00BD6259">
        <w:rPr>
          <w:sz w:val="28"/>
        </w:rPr>
        <w:t xml:space="preserve">  </w:t>
      </w:r>
      <w:r>
        <w:rPr>
          <w:sz w:val="28"/>
        </w:rPr>
        <w:t>- п</w:t>
      </w:r>
      <w:r w:rsidR="00BD6259" w:rsidRPr="00BD6259">
        <w:rPr>
          <w:sz w:val="28"/>
        </w:rPr>
        <w:t xml:space="preserve">о счёту бюджетного учёта 020500000 «Расчеты по доходам» не отражена сумма начисленной </w:t>
      </w:r>
      <w:r w:rsidR="00BD6259" w:rsidRPr="00BD6259">
        <w:rPr>
          <w:sz w:val="28"/>
        </w:rPr>
        <w:lastRenderedPageBreak/>
        <w:t xml:space="preserve">задолженности по </w:t>
      </w:r>
      <w:r>
        <w:rPr>
          <w:sz w:val="28"/>
        </w:rPr>
        <w:t xml:space="preserve">поступлениям </w:t>
      </w:r>
      <w:r w:rsidR="00BD6259" w:rsidRPr="00BD6259">
        <w:rPr>
          <w:sz w:val="28"/>
        </w:rPr>
        <w:t>плат</w:t>
      </w:r>
      <w:r>
        <w:rPr>
          <w:sz w:val="28"/>
        </w:rPr>
        <w:t>ы</w:t>
      </w:r>
      <w:r w:rsidR="00BD6259" w:rsidRPr="00BD6259">
        <w:rPr>
          <w:sz w:val="28"/>
        </w:rPr>
        <w:t xml:space="preserve"> за социальный и коммерческий найм жилья.</w:t>
      </w:r>
    </w:p>
    <w:p w:rsidR="001012F6" w:rsidRDefault="00F23679" w:rsidP="00BD6259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По результатам внешней проверки</w:t>
      </w:r>
      <w:r w:rsidR="00BD6259" w:rsidRPr="00BD6259">
        <w:rPr>
          <w:sz w:val="28"/>
        </w:rPr>
        <w:t xml:space="preserve"> </w:t>
      </w:r>
      <w:r w:rsidR="00A82406">
        <w:rPr>
          <w:sz w:val="28"/>
        </w:rPr>
        <w:t>ГАБС</w:t>
      </w:r>
      <w:r w:rsidRPr="00BD6259">
        <w:rPr>
          <w:sz w:val="28"/>
        </w:rPr>
        <w:t xml:space="preserve"> </w:t>
      </w:r>
      <w:r w:rsidR="00BD6259" w:rsidRPr="00BD6259">
        <w:rPr>
          <w:sz w:val="28"/>
        </w:rPr>
        <w:t>даны соответствующие рекомендации.</w:t>
      </w:r>
    </w:p>
    <w:p w:rsidR="00BD6259" w:rsidRDefault="00BD6259" w:rsidP="00BD6259">
      <w:pPr>
        <w:tabs>
          <w:tab w:val="left" w:pos="284"/>
        </w:tabs>
        <w:ind w:firstLine="709"/>
        <w:jc w:val="both"/>
        <w:rPr>
          <w:b/>
          <w:sz w:val="28"/>
        </w:rPr>
      </w:pPr>
    </w:p>
    <w:p w:rsidR="002849E1" w:rsidRDefault="0059731E" w:rsidP="00A71B5D">
      <w:pPr>
        <w:tabs>
          <w:tab w:val="left" w:pos="284"/>
        </w:tabs>
        <w:ind w:firstLine="709"/>
        <w:jc w:val="center"/>
        <w:rPr>
          <w:b/>
          <w:sz w:val="28"/>
        </w:rPr>
      </w:pPr>
      <w:r>
        <w:rPr>
          <w:b/>
          <w:sz w:val="28"/>
        </w:rPr>
        <w:t>2. Экспертно-аналитическая деятельность</w:t>
      </w:r>
    </w:p>
    <w:p w:rsidR="002849E1" w:rsidRDefault="0059731E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2849E1" w:rsidRDefault="0059731E">
      <w:pPr>
        <w:ind w:firstLine="567"/>
        <w:jc w:val="both"/>
        <w:rPr>
          <w:sz w:val="28"/>
        </w:rPr>
      </w:pPr>
      <w:r>
        <w:rPr>
          <w:sz w:val="28"/>
        </w:rPr>
        <w:t>В</w:t>
      </w:r>
      <w:r w:rsidR="0012249D">
        <w:rPr>
          <w:sz w:val="28"/>
        </w:rPr>
        <w:t>о</w:t>
      </w:r>
      <w:r w:rsidR="00B131A9">
        <w:rPr>
          <w:sz w:val="28"/>
        </w:rPr>
        <w:t xml:space="preserve"> </w:t>
      </w:r>
      <w:r w:rsidR="0012249D">
        <w:rPr>
          <w:sz w:val="28"/>
        </w:rPr>
        <w:t>втором</w:t>
      </w:r>
      <w:r>
        <w:rPr>
          <w:sz w:val="28"/>
        </w:rPr>
        <w:t xml:space="preserve"> квартале Счётной палатой проведены:</w:t>
      </w:r>
    </w:p>
    <w:p w:rsidR="0012249D" w:rsidRPr="0012249D" w:rsidRDefault="0012249D" w:rsidP="0012249D">
      <w:pPr>
        <w:ind w:firstLine="567"/>
        <w:jc w:val="both"/>
        <w:rPr>
          <w:sz w:val="28"/>
        </w:rPr>
      </w:pPr>
      <w:r w:rsidRPr="0012249D">
        <w:rPr>
          <w:sz w:val="28"/>
        </w:rPr>
        <w:t>-</w:t>
      </w:r>
      <w:r w:rsidRPr="0012249D">
        <w:rPr>
          <w:sz w:val="28"/>
        </w:rPr>
        <w:tab/>
        <w:t>экспертиз</w:t>
      </w:r>
      <w:r w:rsidR="0071065C">
        <w:rPr>
          <w:sz w:val="28"/>
        </w:rPr>
        <w:t>ы</w:t>
      </w:r>
      <w:r w:rsidRPr="0012249D">
        <w:rPr>
          <w:sz w:val="28"/>
        </w:rPr>
        <w:t xml:space="preserve"> проектов решения Думы города «О внесении изменений в решение Думы города Нефтеюганска от 24.12.2019 № 700-VI «О бюджете города Нефтеюганска на 2020 год и плановый перио</w:t>
      </w:r>
      <w:r w:rsidR="007E23A7">
        <w:rPr>
          <w:sz w:val="28"/>
        </w:rPr>
        <w:t>д 2021 и 2022 годов»</w:t>
      </w:r>
      <w:r w:rsidRPr="0012249D">
        <w:rPr>
          <w:sz w:val="28"/>
        </w:rPr>
        <w:t>;</w:t>
      </w:r>
    </w:p>
    <w:p w:rsidR="0012249D" w:rsidRPr="0012249D" w:rsidRDefault="0012249D" w:rsidP="0012249D">
      <w:pPr>
        <w:ind w:firstLine="567"/>
        <w:jc w:val="both"/>
        <w:rPr>
          <w:sz w:val="28"/>
        </w:rPr>
      </w:pPr>
      <w:r w:rsidRPr="0012249D">
        <w:rPr>
          <w:sz w:val="28"/>
        </w:rPr>
        <w:t>-</w:t>
      </w:r>
      <w:r w:rsidRPr="0012249D">
        <w:rPr>
          <w:sz w:val="28"/>
        </w:rPr>
        <w:tab/>
        <w:t>экспертизы проектов изменений в муниципальные программы города Нефтеюганска;</w:t>
      </w:r>
    </w:p>
    <w:p w:rsidR="007D7657" w:rsidRDefault="0012249D" w:rsidP="0012249D">
      <w:pPr>
        <w:ind w:firstLine="567"/>
        <w:jc w:val="both"/>
        <w:rPr>
          <w:sz w:val="28"/>
        </w:rPr>
      </w:pPr>
      <w:r w:rsidRPr="0012249D">
        <w:rPr>
          <w:sz w:val="28"/>
        </w:rPr>
        <w:t>-</w:t>
      </w:r>
      <w:r w:rsidRPr="0012249D">
        <w:rPr>
          <w:sz w:val="28"/>
        </w:rPr>
        <w:tab/>
        <w:t>экспертизы проектов муниципальных правовых актов в части, касающейся расходных обязательств муниципального образования</w:t>
      </w:r>
      <w:r w:rsidR="00C412D0">
        <w:rPr>
          <w:sz w:val="28"/>
        </w:rPr>
        <w:t>;</w:t>
      </w:r>
    </w:p>
    <w:p w:rsidR="00C412D0" w:rsidRPr="0012249D" w:rsidRDefault="00C412D0" w:rsidP="00C412D0">
      <w:pPr>
        <w:ind w:firstLine="567"/>
        <w:jc w:val="both"/>
        <w:rPr>
          <w:sz w:val="28"/>
        </w:rPr>
      </w:pPr>
      <w:r w:rsidRPr="0012249D">
        <w:rPr>
          <w:sz w:val="28"/>
        </w:rPr>
        <w:t>-</w:t>
      </w:r>
      <w:r w:rsidRPr="0012249D">
        <w:rPr>
          <w:sz w:val="28"/>
        </w:rPr>
        <w:tab/>
        <w:t>внешняя проверка отчёта об исполнении бюджета города за 2019 год</w:t>
      </w:r>
      <w:r>
        <w:rPr>
          <w:sz w:val="28"/>
        </w:rPr>
        <w:t>.</w:t>
      </w:r>
    </w:p>
    <w:p w:rsidR="00C412D0" w:rsidRPr="00C412D0" w:rsidRDefault="00C412D0" w:rsidP="0012249D">
      <w:pPr>
        <w:ind w:firstLine="567"/>
        <w:jc w:val="both"/>
        <w:rPr>
          <w:sz w:val="28"/>
        </w:rPr>
      </w:pPr>
      <w:r w:rsidRPr="00C412D0">
        <w:rPr>
          <w:sz w:val="28"/>
        </w:rPr>
        <w:t>Кроме того, подготовлен оперативный отчёт о ходе исполнения бюджета города Нефте</w:t>
      </w:r>
      <w:r>
        <w:rPr>
          <w:sz w:val="28"/>
        </w:rPr>
        <w:t>юганска по итогам 1 квартала 2020</w:t>
      </w:r>
      <w:r w:rsidRPr="00C412D0">
        <w:rPr>
          <w:sz w:val="28"/>
        </w:rPr>
        <w:t xml:space="preserve"> года.</w:t>
      </w:r>
    </w:p>
    <w:p w:rsidR="0012249D" w:rsidRDefault="0012249D" w:rsidP="007D7657">
      <w:pPr>
        <w:jc w:val="center"/>
        <w:rPr>
          <w:b/>
          <w:i/>
          <w:sz w:val="28"/>
        </w:rPr>
      </w:pPr>
    </w:p>
    <w:p w:rsidR="007D7657" w:rsidRDefault="007D7657" w:rsidP="007D7657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2.1. </w:t>
      </w:r>
      <w:r w:rsidRPr="007D7657">
        <w:rPr>
          <w:b/>
          <w:i/>
          <w:sz w:val="28"/>
        </w:rPr>
        <w:t xml:space="preserve">Экспертиза проекта решения Думы города «О внесении изменений в решение Думы города Нефтеюганска от 24.12.2019 №700-VI «О бюджете города Нефтеюганска на 2020 год и плановый период 2021и 2022 годов» </w:t>
      </w:r>
    </w:p>
    <w:p w:rsidR="0049563C" w:rsidRPr="007D7657" w:rsidRDefault="0049563C" w:rsidP="007D7657">
      <w:pPr>
        <w:jc w:val="center"/>
        <w:rPr>
          <w:b/>
          <w:i/>
          <w:sz w:val="28"/>
        </w:rPr>
      </w:pPr>
    </w:p>
    <w:p w:rsidR="0012249D" w:rsidRDefault="0012249D" w:rsidP="0012249D">
      <w:pPr>
        <w:ind w:firstLine="708"/>
        <w:jc w:val="both"/>
        <w:rPr>
          <w:sz w:val="28"/>
        </w:rPr>
      </w:pPr>
      <w:r w:rsidRPr="0012249D">
        <w:rPr>
          <w:sz w:val="28"/>
        </w:rPr>
        <w:t xml:space="preserve">В отчётном периоде подготовлено 3 заключения на проекты решений Думы города </w:t>
      </w:r>
      <w:r w:rsidR="007E23A7">
        <w:rPr>
          <w:sz w:val="28"/>
        </w:rPr>
        <w:t xml:space="preserve">Нефтеюганска </w:t>
      </w:r>
      <w:r w:rsidRPr="0012249D">
        <w:rPr>
          <w:sz w:val="28"/>
        </w:rPr>
        <w:t xml:space="preserve">«О внесении изменений в решение Думы города Нефтеюганска от 24.12.2019 № 700-VI «О бюджете города Нефтеюганска на 2020 год и плановый период 2021 и 2022 годов». Финансовым органом, администрацией города, главными распорядителями бюджетных средств рекомендации учтены и приняты к сведению. </w:t>
      </w:r>
      <w:r>
        <w:rPr>
          <w:sz w:val="28"/>
        </w:rPr>
        <w:tab/>
      </w:r>
      <w:r>
        <w:rPr>
          <w:sz w:val="28"/>
        </w:rPr>
        <w:tab/>
      </w:r>
    </w:p>
    <w:p w:rsidR="0071065C" w:rsidRDefault="0071065C">
      <w:pPr>
        <w:jc w:val="center"/>
        <w:rPr>
          <w:b/>
          <w:i/>
          <w:sz w:val="28"/>
        </w:rPr>
      </w:pPr>
    </w:p>
    <w:p w:rsidR="002849E1" w:rsidRDefault="0059731E">
      <w:pPr>
        <w:jc w:val="center"/>
        <w:rPr>
          <w:sz w:val="28"/>
        </w:rPr>
      </w:pPr>
      <w:r w:rsidRPr="006113BC">
        <w:rPr>
          <w:b/>
          <w:i/>
          <w:sz w:val="28"/>
        </w:rPr>
        <w:t>2.</w:t>
      </w:r>
      <w:r w:rsidR="007D7657" w:rsidRPr="006113BC">
        <w:rPr>
          <w:b/>
          <w:i/>
          <w:sz w:val="28"/>
        </w:rPr>
        <w:t>2</w:t>
      </w:r>
      <w:r w:rsidRPr="006113BC">
        <w:rPr>
          <w:b/>
          <w:i/>
          <w:sz w:val="28"/>
        </w:rPr>
        <w:t>. Экспертиза проектов изменений в муниципальные программы города Нефтеюганска</w:t>
      </w:r>
    </w:p>
    <w:p w:rsidR="00EE2A77" w:rsidRDefault="00EE2A77">
      <w:pPr>
        <w:pStyle w:val="ConsPlusNormal"/>
        <w:spacing w:line="23" w:lineRule="atLeast"/>
        <w:ind w:firstLine="567"/>
        <w:jc w:val="both"/>
        <w:rPr>
          <w:rFonts w:ascii="Times New Roman" w:hAnsi="Times New Roman"/>
          <w:sz w:val="28"/>
        </w:rPr>
      </w:pPr>
    </w:p>
    <w:p w:rsidR="002849E1" w:rsidRDefault="0059731E">
      <w:pPr>
        <w:pStyle w:val="ConsPlusNormal"/>
        <w:spacing w:line="23" w:lineRule="atLeas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9E501D">
        <w:rPr>
          <w:rFonts w:ascii="Times New Roman" w:hAnsi="Times New Roman"/>
          <w:sz w:val="28"/>
        </w:rPr>
        <w:t>роведен</w:t>
      </w:r>
      <w:r w:rsidR="009D61CD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</w:t>
      </w:r>
      <w:r w:rsidR="009E501D" w:rsidRPr="009E501D">
        <w:rPr>
          <w:rFonts w:ascii="Times New Roman" w:hAnsi="Times New Roman"/>
          <w:color w:val="auto"/>
          <w:sz w:val="28"/>
        </w:rPr>
        <w:t>экспертиз</w:t>
      </w:r>
      <w:r w:rsidR="009D61CD">
        <w:rPr>
          <w:rFonts w:ascii="Times New Roman" w:hAnsi="Times New Roman"/>
          <w:color w:val="auto"/>
          <w:sz w:val="28"/>
        </w:rPr>
        <w:t>ы</w:t>
      </w:r>
      <w:r w:rsidR="009E501D" w:rsidRPr="009E501D">
        <w:rPr>
          <w:rFonts w:ascii="Times New Roman" w:hAnsi="Times New Roman"/>
          <w:sz w:val="28"/>
        </w:rPr>
        <w:t xml:space="preserve"> </w:t>
      </w:r>
      <w:r w:rsidR="009D61CD">
        <w:rPr>
          <w:rFonts w:ascii="Times New Roman" w:hAnsi="Times New Roman"/>
          <w:sz w:val="28"/>
        </w:rPr>
        <w:t>30</w:t>
      </w:r>
      <w:r w:rsidR="009E501D">
        <w:rPr>
          <w:rFonts w:ascii="Times New Roman" w:hAnsi="Times New Roman"/>
          <w:sz w:val="28"/>
        </w:rPr>
        <w:t xml:space="preserve"> проект</w:t>
      </w:r>
      <w:r w:rsidR="009D61CD">
        <w:rPr>
          <w:rFonts w:ascii="Times New Roman" w:hAnsi="Times New Roman"/>
          <w:sz w:val="28"/>
        </w:rPr>
        <w:t>ов</w:t>
      </w:r>
      <w:r w:rsidR="009E501D">
        <w:rPr>
          <w:rFonts w:ascii="Times New Roman" w:hAnsi="Times New Roman"/>
          <w:sz w:val="28"/>
        </w:rPr>
        <w:t xml:space="preserve"> изменений в муниципальные программы города Нефтеюганска</w:t>
      </w:r>
      <w:r w:rsidR="009E501D">
        <w:rPr>
          <w:rFonts w:ascii="Times New Roman" w:hAnsi="Times New Roman"/>
          <w:color w:val="auto"/>
          <w:sz w:val="28"/>
        </w:rPr>
        <w:t>, по результатам которых подготовлены соответствующие</w:t>
      </w:r>
      <w:r w:rsidR="009E501D" w:rsidRPr="009E501D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</w:rPr>
        <w:t>заключени</w:t>
      </w:r>
      <w:r w:rsidR="004F0BDC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. Сформулировано </w:t>
      </w:r>
      <w:r w:rsidR="00B336CF">
        <w:rPr>
          <w:rFonts w:ascii="Times New Roman" w:hAnsi="Times New Roman"/>
          <w:sz w:val="28"/>
        </w:rPr>
        <w:t>1</w:t>
      </w:r>
      <w:r w:rsidR="009D61CD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замечани</w:t>
      </w:r>
      <w:r w:rsidR="00B336CF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, подготовлено </w:t>
      </w:r>
      <w:r w:rsidR="00B336CF">
        <w:rPr>
          <w:rFonts w:ascii="Times New Roman" w:hAnsi="Times New Roman"/>
          <w:sz w:val="28"/>
        </w:rPr>
        <w:t>1</w:t>
      </w:r>
      <w:r w:rsidR="00CF67E9">
        <w:rPr>
          <w:rFonts w:ascii="Times New Roman" w:hAnsi="Times New Roman"/>
          <w:sz w:val="28"/>
        </w:rPr>
        <w:t>1</w:t>
      </w:r>
      <w:r w:rsidR="007B74B6">
        <w:rPr>
          <w:rFonts w:ascii="Times New Roman" w:hAnsi="Times New Roman"/>
          <w:sz w:val="28"/>
        </w:rPr>
        <w:t xml:space="preserve"> рекомендаци</w:t>
      </w:r>
      <w:r w:rsidR="00A82406">
        <w:rPr>
          <w:rFonts w:ascii="Times New Roman" w:hAnsi="Times New Roman"/>
          <w:sz w:val="28"/>
        </w:rPr>
        <w:t>й</w:t>
      </w:r>
      <w:r w:rsidR="009E501D">
        <w:rPr>
          <w:rFonts w:ascii="Times New Roman" w:hAnsi="Times New Roman"/>
          <w:sz w:val="28"/>
        </w:rPr>
        <w:t>, которы</w:t>
      </w:r>
      <w:r w:rsidR="00D5206D">
        <w:rPr>
          <w:rFonts w:ascii="Times New Roman" w:hAnsi="Times New Roman"/>
          <w:sz w:val="28"/>
        </w:rPr>
        <w:t>е приняты и исполнены</w:t>
      </w:r>
      <w:r w:rsidR="009E501D">
        <w:rPr>
          <w:rFonts w:ascii="Times New Roman" w:hAnsi="Times New Roman"/>
          <w:sz w:val="28"/>
        </w:rPr>
        <w:t xml:space="preserve"> </w:t>
      </w:r>
      <w:r w:rsidR="00B336CF">
        <w:rPr>
          <w:rFonts w:ascii="Times New Roman" w:hAnsi="Times New Roman"/>
          <w:sz w:val="28"/>
        </w:rPr>
        <w:t>ответственными исполнителями муниципальных программ</w:t>
      </w:r>
      <w:r w:rsidR="009E501D">
        <w:rPr>
          <w:rFonts w:ascii="Times New Roman" w:hAnsi="Times New Roman"/>
          <w:sz w:val="28"/>
        </w:rPr>
        <w:t xml:space="preserve">.  </w:t>
      </w:r>
    </w:p>
    <w:p w:rsidR="002849E1" w:rsidRDefault="0059731E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>
        <w:rPr>
          <w:sz w:val="28"/>
        </w:rPr>
        <w:t xml:space="preserve">При проведении экспертизы выявлены следующие основные недостатки: </w:t>
      </w:r>
    </w:p>
    <w:p w:rsidR="00D70D10" w:rsidRDefault="00D70D10" w:rsidP="00233F52">
      <w:pPr>
        <w:tabs>
          <w:tab w:val="left" w:pos="0"/>
        </w:tabs>
        <w:spacing w:line="23" w:lineRule="atLeast"/>
        <w:ind w:firstLine="567"/>
        <w:jc w:val="both"/>
        <w:rPr>
          <w:sz w:val="28"/>
          <w:highlight w:val="yellow"/>
        </w:rPr>
      </w:pPr>
      <w:r w:rsidRPr="00D70D10">
        <w:rPr>
          <w:sz w:val="28"/>
        </w:rPr>
        <w:lastRenderedPageBreak/>
        <w:t>- отдельные положения проектов не соответствовали Порядку принятия решения о разработке муниципальных программ</w:t>
      </w:r>
      <w:r w:rsidR="00C476EF">
        <w:rPr>
          <w:rStyle w:val="af9"/>
          <w:sz w:val="28"/>
        </w:rPr>
        <w:footnoteReference w:id="8"/>
      </w:r>
      <w:r>
        <w:rPr>
          <w:sz w:val="28"/>
        </w:rPr>
        <w:t>;</w:t>
      </w:r>
    </w:p>
    <w:p w:rsidR="001561A2" w:rsidRDefault="0059731E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 w:rsidRPr="00D70D10">
        <w:rPr>
          <w:sz w:val="28"/>
        </w:rPr>
        <w:t>- отсутствовала согласованность информации в отдельных частях муниципальных программ</w:t>
      </w:r>
      <w:r w:rsidR="001561A2">
        <w:rPr>
          <w:sz w:val="28"/>
        </w:rPr>
        <w:t>;</w:t>
      </w:r>
    </w:p>
    <w:p w:rsidR="001561A2" w:rsidRDefault="001561A2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>
        <w:rPr>
          <w:sz w:val="28"/>
        </w:rPr>
        <w:t>-</w:t>
      </w:r>
      <w:r w:rsidR="00340DF7" w:rsidRPr="00340DF7">
        <w:rPr>
          <w:sz w:val="28"/>
        </w:rPr>
        <w:t xml:space="preserve"> </w:t>
      </w:r>
      <w:r w:rsidR="00340DF7">
        <w:rPr>
          <w:sz w:val="28"/>
        </w:rPr>
        <w:t>в сметных расчётах</w:t>
      </w:r>
      <w:r w:rsidR="00AB630A">
        <w:rPr>
          <w:sz w:val="28"/>
        </w:rPr>
        <w:t xml:space="preserve"> допускались нарушения в части применения завышенного индекса </w:t>
      </w:r>
      <w:r w:rsidR="00A82406">
        <w:rPr>
          <w:sz w:val="28"/>
        </w:rPr>
        <w:t>строительно-монтажных работ</w:t>
      </w:r>
      <w:r w:rsidR="00AB630A">
        <w:rPr>
          <w:sz w:val="28"/>
        </w:rPr>
        <w:t xml:space="preserve">, что привело к </w:t>
      </w:r>
      <w:r w:rsidR="0071065C">
        <w:rPr>
          <w:sz w:val="28"/>
        </w:rPr>
        <w:t>увеличению</w:t>
      </w:r>
      <w:r w:rsidR="00AB630A">
        <w:rPr>
          <w:sz w:val="28"/>
        </w:rPr>
        <w:t xml:space="preserve"> сметной стоимости работ на 2 549 763 рубл</w:t>
      </w:r>
      <w:r w:rsidR="00A82406">
        <w:rPr>
          <w:sz w:val="28"/>
        </w:rPr>
        <w:t>я</w:t>
      </w:r>
      <w:r w:rsidR="00AB630A">
        <w:rPr>
          <w:sz w:val="28"/>
        </w:rPr>
        <w:t xml:space="preserve">. </w:t>
      </w:r>
      <w:r>
        <w:rPr>
          <w:sz w:val="28"/>
        </w:rPr>
        <w:t xml:space="preserve">В результате </w:t>
      </w:r>
      <w:r w:rsidR="00AB630A">
        <w:rPr>
          <w:sz w:val="28"/>
        </w:rPr>
        <w:t xml:space="preserve">выполнения </w:t>
      </w:r>
      <w:r>
        <w:rPr>
          <w:sz w:val="28"/>
        </w:rPr>
        <w:t>рекомендаци</w:t>
      </w:r>
      <w:r w:rsidR="00AB630A">
        <w:rPr>
          <w:sz w:val="28"/>
        </w:rPr>
        <w:t>й</w:t>
      </w:r>
      <w:r>
        <w:rPr>
          <w:sz w:val="28"/>
        </w:rPr>
        <w:t xml:space="preserve"> Счётной палаты указанные плановые расходы исключены</w:t>
      </w:r>
      <w:r w:rsidR="00AB630A">
        <w:rPr>
          <w:sz w:val="28"/>
        </w:rPr>
        <w:t xml:space="preserve"> либо </w:t>
      </w:r>
      <w:r w:rsidR="00AB630A" w:rsidRPr="00340DF7">
        <w:rPr>
          <w:sz w:val="28"/>
        </w:rPr>
        <w:t>перераспределены на новы</w:t>
      </w:r>
      <w:r w:rsidR="007E23A7">
        <w:rPr>
          <w:sz w:val="28"/>
        </w:rPr>
        <w:t>е</w:t>
      </w:r>
      <w:r w:rsidR="00AB630A" w:rsidRPr="00340DF7">
        <w:rPr>
          <w:sz w:val="28"/>
        </w:rPr>
        <w:t xml:space="preserve"> объект</w:t>
      </w:r>
      <w:r w:rsidR="007E23A7">
        <w:rPr>
          <w:sz w:val="28"/>
        </w:rPr>
        <w:t>ы</w:t>
      </w:r>
      <w:r>
        <w:rPr>
          <w:sz w:val="28"/>
        </w:rPr>
        <w:t xml:space="preserve">.    </w:t>
      </w:r>
    </w:p>
    <w:p w:rsidR="002D5856" w:rsidRDefault="002D5856">
      <w:pPr>
        <w:jc w:val="center"/>
        <w:rPr>
          <w:b/>
          <w:i/>
          <w:sz w:val="28"/>
        </w:rPr>
      </w:pPr>
    </w:p>
    <w:p w:rsidR="002849E1" w:rsidRDefault="0059731E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2.</w:t>
      </w:r>
      <w:r w:rsidR="007D7657">
        <w:rPr>
          <w:b/>
          <w:i/>
          <w:sz w:val="28"/>
        </w:rPr>
        <w:t>3</w:t>
      </w:r>
      <w:r>
        <w:rPr>
          <w:b/>
          <w:i/>
          <w:sz w:val="28"/>
        </w:rPr>
        <w:t>. Экспертиза проектов муниципальных правовых актов в части, касающейся расходных обязательств муниципального образования</w:t>
      </w:r>
    </w:p>
    <w:p w:rsidR="000B7DF9" w:rsidRDefault="000B7DF9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</w:p>
    <w:p w:rsidR="00720CFF" w:rsidRDefault="00B131A9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>
        <w:rPr>
          <w:sz w:val="28"/>
        </w:rPr>
        <w:t>В</w:t>
      </w:r>
      <w:r w:rsidR="006148C8">
        <w:rPr>
          <w:sz w:val="28"/>
        </w:rPr>
        <w:t>о</w:t>
      </w:r>
      <w:r>
        <w:rPr>
          <w:sz w:val="28"/>
        </w:rPr>
        <w:t xml:space="preserve"> </w:t>
      </w:r>
      <w:r w:rsidR="006148C8">
        <w:rPr>
          <w:sz w:val="28"/>
        </w:rPr>
        <w:t>втор</w:t>
      </w:r>
      <w:r w:rsidR="0049563C">
        <w:rPr>
          <w:sz w:val="28"/>
        </w:rPr>
        <w:t>ом</w:t>
      </w:r>
      <w:r w:rsidR="0059731E">
        <w:rPr>
          <w:sz w:val="28"/>
        </w:rPr>
        <w:t xml:space="preserve"> квартале 20</w:t>
      </w:r>
      <w:r w:rsidR="0049563C">
        <w:rPr>
          <w:sz w:val="28"/>
        </w:rPr>
        <w:t>20</w:t>
      </w:r>
      <w:r w:rsidR="0059731E">
        <w:rPr>
          <w:sz w:val="28"/>
        </w:rPr>
        <w:t xml:space="preserve"> года проведено </w:t>
      </w:r>
      <w:r w:rsidR="006148C8">
        <w:rPr>
          <w:sz w:val="28"/>
        </w:rPr>
        <w:t>15</w:t>
      </w:r>
      <w:r w:rsidR="007B74B6">
        <w:rPr>
          <w:sz w:val="28"/>
        </w:rPr>
        <w:t xml:space="preserve"> </w:t>
      </w:r>
      <w:r w:rsidR="0059731E">
        <w:rPr>
          <w:sz w:val="28"/>
        </w:rPr>
        <w:t>экспертиз проект</w:t>
      </w:r>
      <w:r w:rsidR="00720CFF">
        <w:rPr>
          <w:sz w:val="28"/>
        </w:rPr>
        <w:t>ов муниципальных правовых актов,</w:t>
      </w:r>
      <w:r w:rsidR="00422F5A" w:rsidRPr="00422F5A">
        <w:t xml:space="preserve"> </w:t>
      </w:r>
      <w:r w:rsidR="00422F5A" w:rsidRPr="00422F5A">
        <w:rPr>
          <w:sz w:val="28"/>
        </w:rPr>
        <w:t>в части, касающейся расходных обязательств муниципального образования</w:t>
      </w:r>
      <w:r w:rsidR="0049563C">
        <w:rPr>
          <w:sz w:val="28"/>
        </w:rPr>
        <w:t>.</w:t>
      </w:r>
    </w:p>
    <w:p w:rsidR="00EE2A77" w:rsidRDefault="00EE2A77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 w:rsidRPr="00EE2A77">
        <w:rPr>
          <w:sz w:val="28"/>
        </w:rPr>
        <w:t xml:space="preserve">Всего по результатам экспертиз проектов муниципальных правовых актов установлено </w:t>
      </w:r>
      <w:r w:rsidR="006148C8">
        <w:rPr>
          <w:sz w:val="28"/>
        </w:rPr>
        <w:t>24</w:t>
      </w:r>
      <w:r w:rsidRPr="00EE2A77">
        <w:rPr>
          <w:sz w:val="28"/>
        </w:rPr>
        <w:t xml:space="preserve"> замечани</w:t>
      </w:r>
      <w:r w:rsidR="006148C8">
        <w:rPr>
          <w:sz w:val="28"/>
        </w:rPr>
        <w:t>я</w:t>
      </w:r>
      <w:r w:rsidRPr="00EE2A77">
        <w:rPr>
          <w:sz w:val="28"/>
        </w:rPr>
        <w:t xml:space="preserve">, </w:t>
      </w:r>
      <w:r w:rsidR="00AF2506">
        <w:rPr>
          <w:sz w:val="28"/>
        </w:rPr>
        <w:t>по которым даны соответствующие рекомендации.</w:t>
      </w:r>
      <w:r w:rsidRPr="00EE2A77">
        <w:rPr>
          <w:sz w:val="28"/>
        </w:rPr>
        <w:t xml:space="preserve"> </w:t>
      </w:r>
    </w:p>
    <w:p w:rsidR="007E23A7" w:rsidRDefault="007E23A7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</w:p>
    <w:p w:rsidR="00C412D0" w:rsidRPr="006148C8" w:rsidRDefault="006148C8" w:rsidP="006148C8">
      <w:pPr>
        <w:tabs>
          <w:tab w:val="left" w:pos="0"/>
        </w:tabs>
        <w:spacing w:line="23" w:lineRule="atLeast"/>
        <w:ind w:firstLine="567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2.4. </w:t>
      </w:r>
      <w:r w:rsidR="00C412D0" w:rsidRPr="006148C8">
        <w:rPr>
          <w:b/>
          <w:i/>
          <w:sz w:val="28"/>
        </w:rPr>
        <w:t>Внешняя проверка отчёта об исполнении бюджета</w:t>
      </w:r>
    </w:p>
    <w:p w:rsidR="00C412D0" w:rsidRPr="00C412D0" w:rsidRDefault="00C412D0" w:rsidP="006148C8">
      <w:pPr>
        <w:tabs>
          <w:tab w:val="left" w:pos="0"/>
        </w:tabs>
        <w:spacing w:line="23" w:lineRule="atLeast"/>
        <w:ind w:firstLine="567"/>
        <w:jc w:val="center"/>
        <w:rPr>
          <w:sz w:val="28"/>
        </w:rPr>
      </w:pPr>
      <w:r w:rsidRPr="006148C8">
        <w:rPr>
          <w:b/>
          <w:i/>
          <w:sz w:val="28"/>
        </w:rPr>
        <w:t>города за 2019 год</w:t>
      </w:r>
    </w:p>
    <w:p w:rsidR="00C412D0" w:rsidRPr="00C412D0" w:rsidRDefault="00C412D0" w:rsidP="00C412D0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</w:p>
    <w:p w:rsidR="00A82406" w:rsidRPr="00C412D0" w:rsidRDefault="00C412D0" w:rsidP="00A82406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 w:rsidRPr="00C412D0">
        <w:rPr>
          <w:sz w:val="28"/>
        </w:rPr>
        <w:t>На основании проведённой внешней проверки годового отчёта об исполнении бюджета города Нефтеюганска и годовой бюджетной отчётности главных администраторов бюджетных средств подготовлено заключение, в котором сформулировано 4 замечания, дано 7 рекомендаций</w:t>
      </w:r>
      <w:r w:rsidR="007E23A7">
        <w:rPr>
          <w:sz w:val="28"/>
        </w:rPr>
        <w:t>.</w:t>
      </w:r>
      <w:r w:rsidRPr="00C412D0">
        <w:rPr>
          <w:sz w:val="28"/>
        </w:rPr>
        <w:t xml:space="preserve"> </w:t>
      </w:r>
      <w:r w:rsidR="007E23A7">
        <w:rPr>
          <w:sz w:val="28"/>
        </w:rPr>
        <w:t>В</w:t>
      </w:r>
      <w:r w:rsidRPr="00C412D0">
        <w:rPr>
          <w:sz w:val="28"/>
        </w:rPr>
        <w:t xml:space="preserve"> основном замечания касались внешней проверки бюджетной отчётности ГАБС. Кроме того, по ряду справок об изменении показателей сводной бюджетной росписи и изменении лимитов бюджетных обязательств, оформленных в 4 квартале 2019 года</w:t>
      </w:r>
      <w:r w:rsidR="0071065C">
        <w:rPr>
          <w:sz w:val="28"/>
        </w:rPr>
        <w:t>,</w:t>
      </w:r>
      <w:r w:rsidRPr="00C412D0">
        <w:rPr>
          <w:sz w:val="28"/>
        </w:rPr>
        <w:t xml:space="preserve"> указывалось неверное наименование целевой статьи расходов бюджета, относящейся к названию муниципальной программы. Также в справках об изменении кассового плана по расходам за 4 квартал 2019 года установлен</w:t>
      </w:r>
      <w:r w:rsidR="006148C8">
        <w:rPr>
          <w:sz w:val="28"/>
        </w:rPr>
        <w:t xml:space="preserve">ы </w:t>
      </w:r>
      <w:r w:rsidRPr="00C412D0">
        <w:rPr>
          <w:sz w:val="28"/>
        </w:rPr>
        <w:t>отдельные нарушения при нормировании затрат для осущес</w:t>
      </w:r>
      <w:r w:rsidR="006148C8">
        <w:rPr>
          <w:sz w:val="28"/>
        </w:rPr>
        <w:t>твления закупок</w:t>
      </w:r>
      <w:r w:rsidR="00A82406">
        <w:rPr>
          <w:sz w:val="28"/>
        </w:rPr>
        <w:t>.</w:t>
      </w:r>
    </w:p>
    <w:p w:rsidR="009C384C" w:rsidRDefault="009C384C" w:rsidP="004E6CBA">
      <w:pPr>
        <w:tabs>
          <w:tab w:val="left" w:pos="0"/>
        </w:tabs>
        <w:spacing w:line="23" w:lineRule="atLeast"/>
        <w:ind w:firstLine="567"/>
        <w:jc w:val="center"/>
        <w:rPr>
          <w:b/>
          <w:i/>
          <w:sz w:val="28"/>
        </w:rPr>
      </w:pPr>
    </w:p>
    <w:p w:rsidR="009C384C" w:rsidRDefault="009C384C" w:rsidP="004E6CBA">
      <w:pPr>
        <w:tabs>
          <w:tab w:val="left" w:pos="0"/>
        </w:tabs>
        <w:spacing w:line="23" w:lineRule="atLeast"/>
        <w:ind w:firstLine="567"/>
        <w:jc w:val="center"/>
        <w:rPr>
          <w:b/>
          <w:i/>
          <w:sz w:val="28"/>
        </w:rPr>
      </w:pPr>
    </w:p>
    <w:p w:rsidR="009C384C" w:rsidRDefault="009C384C" w:rsidP="004E6CBA">
      <w:pPr>
        <w:tabs>
          <w:tab w:val="left" w:pos="0"/>
        </w:tabs>
        <w:spacing w:line="23" w:lineRule="atLeast"/>
        <w:ind w:firstLine="567"/>
        <w:jc w:val="center"/>
        <w:rPr>
          <w:b/>
          <w:i/>
          <w:sz w:val="28"/>
        </w:rPr>
      </w:pPr>
    </w:p>
    <w:p w:rsidR="009C384C" w:rsidRDefault="009C384C" w:rsidP="004E6CBA">
      <w:pPr>
        <w:tabs>
          <w:tab w:val="left" w:pos="0"/>
        </w:tabs>
        <w:spacing w:line="23" w:lineRule="atLeast"/>
        <w:ind w:firstLine="567"/>
        <w:jc w:val="center"/>
        <w:rPr>
          <w:b/>
          <w:i/>
          <w:sz w:val="28"/>
        </w:rPr>
      </w:pPr>
    </w:p>
    <w:p w:rsidR="00C412D0" w:rsidRPr="004E6CBA" w:rsidRDefault="007E23A7" w:rsidP="004E6CBA">
      <w:pPr>
        <w:tabs>
          <w:tab w:val="left" w:pos="0"/>
        </w:tabs>
        <w:spacing w:line="23" w:lineRule="atLeast"/>
        <w:ind w:firstLine="567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 xml:space="preserve">2.5. </w:t>
      </w:r>
      <w:r w:rsidR="00C412D0" w:rsidRPr="004E6CBA">
        <w:rPr>
          <w:b/>
          <w:i/>
          <w:sz w:val="28"/>
        </w:rPr>
        <w:t>Оперативный отчёт о ходе исполнения бюджета города Нефтеюганска по итогам 1 квартала 2020 года</w:t>
      </w:r>
    </w:p>
    <w:p w:rsidR="00C412D0" w:rsidRPr="004E6CBA" w:rsidRDefault="00C412D0" w:rsidP="004E6CBA">
      <w:pPr>
        <w:tabs>
          <w:tab w:val="left" w:pos="0"/>
        </w:tabs>
        <w:spacing w:line="23" w:lineRule="atLeast"/>
        <w:ind w:firstLine="567"/>
        <w:jc w:val="center"/>
        <w:rPr>
          <w:b/>
          <w:i/>
          <w:sz w:val="28"/>
        </w:rPr>
      </w:pPr>
    </w:p>
    <w:p w:rsidR="00C412D0" w:rsidRDefault="00C412D0" w:rsidP="00C412D0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  <w:r w:rsidRPr="00C412D0">
        <w:rPr>
          <w:sz w:val="28"/>
        </w:rPr>
        <w:t>При выборочной камеральной проверке справок об изменении кассового плана по расходам за 1 квартал 2020 года замечаний и нарушений не установлено. При камеральной проверке уведомлений по доведению лимитов и бюджетных ассигнований на 2020 год и плановый период 2021 и 2022 годов до главных распорядителей бюджетных средств установлены отдельные недостатки, связанные с оформлением документов.</w:t>
      </w:r>
    </w:p>
    <w:p w:rsidR="00C412D0" w:rsidRDefault="00C412D0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</w:p>
    <w:p w:rsidR="002849E1" w:rsidRDefault="0059731E">
      <w:pPr>
        <w:tabs>
          <w:tab w:val="left" w:pos="567"/>
        </w:tabs>
        <w:spacing w:line="22" w:lineRule="atLeast"/>
        <w:jc w:val="center"/>
        <w:rPr>
          <w:b/>
          <w:sz w:val="28"/>
        </w:rPr>
      </w:pPr>
      <w:r>
        <w:rPr>
          <w:b/>
          <w:sz w:val="28"/>
        </w:rPr>
        <w:t>3. Информационная деятельность</w:t>
      </w:r>
    </w:p>
    <w:p w:rsidR="002849E1" w:rsidRDefault="002849E1">
      <w:pPr>
        <w:tabs>
          <w:tab w:val="left" w:pos="567"/>
        </w:tabs>
        <w:spacing w:line="22" w:lineRule="atLeast"/>
        <w:ind w:firstLine="567"/>
        <w:jc w:val="center"/>
        <w:rPr>
          <w:sz w:val="28"/>
        </w:rPr>
      </w:pPr>
    </w:p>
    <w:p w:rsidR="002849E1" w:rsidRDefault="0059731E">
      <w:pPr>
        <w:tabs>
          <w:tab w:val="left" w:pos="567"/>
        </w:tabs>
        <w:spacing w:line="22" w:lineRule="atLeast"/>
        <w:ind w:firstLine="709"/>
        <w:jc w:val="both"/>
        <w:rPr>
          <w:sz w:val="28"/>
        </w:rPr>
      </w:pPr>
      <w:r>
        <w:rPr>
          <w:sz w:val="28"/>
        </w:rPr>
        <w:t>Информационная деятельность регламентирована статьёй 19 Федерального закона от</w:t>
      </w:r>
      <w:r w:rsidR="00F46357">
        <w:rPr>
          <w:sz w:val="28"/>
        </w:rPr>
        <w:t xml:space="preserve"> 07.02.2011 № 6-ФЗ, Положением </w:t>
      </w:r>
      <w:r>
        <w:rPr>
          <w:sz w:val="28"/>
        </w:rPr>
        <w:t xml:space="preserve">о Счётной палате. </w:t>
      </w:r>
    </w:p>
    <w:p w:rsidR="002849E1" w:rsidRDefault="0059731E">
      <w:pPr>
        <w:tabs>
          <w:tab w:val="left" w:pos="567"/>
        </w:tabs>
        <w:spacing w:line="22" w:lineRule="atLeast"/>
        <w:ind w:firstLine="709"/>
        <w:jc w:val="both"/>
        <w:rPr>
          <w:sz w:val="28"/>
        </w:rPr>
      </w:pPr>
      <w:r>
        <w:rPr>
          <w:sz w:val="28"/>
        </w:rPr>
        <w:t xml:space="preserve">В отчётном периоде на официальном сайте органов местного самоуправления города Нефтеюганска размещено </w:t>
      </w:r>
      <w:r w:rsidR="004E6CBA">
        <w:rPr>
          <w:sz w:val="28"/>
        </w:rPr>
        <w:t>64</w:t>
      </w:r>
      <w:r w:rsidR="00AF2506">
        <w:rPr>
          <w:sz w:val="28"/>
        </w:rPr>
        <w:t xml:space="preserve"> </w:t>
      </w:r>
      <w:r w:rsidR="007B74B6">
        <w:rPr>
          <w:sz w:val="28"/>
        </w:rPr>
        <w:t>материал</w:t>
      </w:r>
      <w:r w:rsidR="004E6CBA">
        <w:rPr>
          <w:sz w:val="28"/>
        </w:rPr>
        <w:t>а</w:t>
      </w:r>
      <w:r>
        <w:rPr>
          <w:sz w:val="28"/>
        </w:rPr>
        <w:t xml:space="preserve">. </w:t>
      </w:r>
    </w:p>
    <w:p w:rsidR="002849E1" w:rsidRDefault="002849E1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</w:p>
    <w:p w:rsidR="00F9789E" w:rsidRDefault="00F9789E">
      <w:pPr>
        <w:tabs>
          <w:tab w:val="left" w:pos="0"/>
        </w:tabs>
        <w:spacing w:line="23" w:lineRule="atLeast"/>
        <w:jc w:val="both"/>
        <w:rPr>
          <w:sz w:val="28"/>
        </w:rPr>
      </w:pPr>
    </w:p>
    <w:p w:rsidR="00F9789E" w:rsidRDefault="00F9789E">
      <w:pPr>
        <w:tabs>
          <w:tab w:val="left" w:pos="0"/>
        </w:tabs>
        <w:spacing w:line="23" w:lineRule="atLeast"/>
        <w:jc w:val="both"/>
        <w:rPr>
          <w:sz w:val="28"/>
        </w:rPr>
      </w:pPr>
    </w:p>
    <w:p w:rsidR="002849E1" w:rsidRDefault="00EE2A77">
      <w:pPr>
        <w:tabs>
          <w:tab w:val="left" w:pos="0"/>
        </w:tabs>
        <w:spacing w:line="23" w:lineRule="atLeast"/>
        <w:jc w:val="both"/>
        <w:rPr>
          <w:b/>
          <w:i/>
          <w:sz w:val="28"/>
        </w:rPr>
      </w:pPr>
      <w:r>
        <w:rPr>
          <w:sz w:val="28"/>
        </w:rPr>
        <w:t>П</w:t>
      </w:r>
      <w:r w:rsidR="0059731E">
        <w:rPr>
          <w:sz w:val="28"/>
        </w:rPr>
        <w:t xml:space="preserve">редседатель                                                                                       </w:t>
      </w:r>
      <w:bookmarkStart w:id="0" w:name="_GoBack"/>
      <w:bookmarkEnd w:id="0"/>
      <w:r w:rsidR="0059731E">
        <w:rPr>
          <w:sz w:val="28"/>
        </w:rPr>
        <w:t xml:space="preserve">С.А. Гичкина </w:t>
      </w:r>
    </w:p>
    <w:sectPr w:rsidR="002849E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7DC" w:rsidRDefault="00FF27DC">
      <w:r>
        <w:separator/>
      </w:r>
    </w:p>
  </w:endnote>
  <w:endnote w:type="continuationSeparator" w:id="0">
    <w:p w:rsidR="00FF27DC" w:rsidRDefault="00FF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9E1" w:rsidRDefault="002849E1">
    <w:pPr>
      <w:pStyle w:val="af0"/>
      <w:jc w:val="center"/>
    </w:pPr>
  </w:p>
  <w:p w:rsidR="002849E1" w:rsidRDefault="002849E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7DC" w:rsidRDefault="00FF27DC">
      <w:r>
        <w:separator/>
      </w:r>
    </w:p>
  </w:footnote>
  <w:footnote w:type="continuationSeparator" w:id="0">
    <w:p w:rsidR="00FF27DC" w:rsidRDefault="00FF27DC">
      <w:r>
        <w:continuationSeparator/>
      </w:r>
    </w:p>
  </w:footnote>
  <w:footnote w:id="1">
    <w:p w:rsidR="00C476EF" w:rsidRDefault="00C476EF" w:rsidP="00C476EF">
      <w:pPr>
        <w:pStyle w:val="af7"/>
        <w:jc w:val="both"/>
      </w:pPr>
      <w:r>
        <w:rPr>
          <w:rStyle w:val="af9"/>
        </w:rPr>
        <w:footnoteRef/>
      </w:r>
      <w:r>
        <w:t xml:space="preserve"> Бюджетный кодекс Российской Федерации</w:t>
      </w:r>
      <w:r w:rsidR="0071065C">
        <w:t xml:space="preserve"> (далее – БК РФ)</w:t>
      </w:r>
      <w:r>
        <w:t>.</w:t>
      </w:r>
    </w:p>
  </w:footnote>
  <w:footnote w:id="2">
    <w:p w:rsidR="00C476EF" w:rsidRDefault="00C476EF" w:rsidP="00C476EF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C476EF">
        <w:t>Федеральны</w:t>
      </w:r>
      <w:r>
        <w:t>й</w:t>
      </w:r>
      <w:r w:rsidRPr="00C476EF">
        <w:t xml:space="preserve"> закон Российской Федерации от 07.02.2011 № 6-ФЗ «Об общих принципах организации и деятельности контрольно-сч</w:t>
      </w:r>
      <w:r w:rsidR="0071065C">
        <w:t>ё</w:t>
      </w:r>
      <w:r w:rsidRPr="00C476EF">
        <w:t>тных органов субъектов Российской Федерации и муниципальных образований»</w:t>
      </w:r>
      <w:r>
        <w:t xml:space="preserve"> (далее – Федеральный закон от 07.02.2011 № 6-ФЗ)</w:t>
      </w:r>
      <w:r w:rsidR="00424926">
        <w:t>.</w:t>
      </w:r>
    </w:p>
  </w:footnote>
  <w:footnote w:id="3">
    <w:p w:rsidR="00C476EF" w:rsidRDefault="00C476EF" w:rsidP="00C476EF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C476EF">
        <w:t>Положение о Счётной палате города Нефтеюганска, утверждённ</w:t>
      </w:r>
      <w:r>
        <w:t>ое</w:t>
      </w:r>
      <w:r w:rsidRPr="00C476EF">
        <w:t xml:space="preserve"> решением Думы города Нефтеюганска от 27.09.2011 № 115-V</w:t>
      </w:r>
      <w:r>
        <w:t xml:space="preserve"> (далее – Положение о Счётной палате).</w:t>
      </w:r>
    </w:p>
  </w:footnote>
  <w:footnote w:id="4">
    <w:p w:rsidR="00810C00" w:rsidRDefault="00810C00" w:rsidP="00810C00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810C00">
        <w:t>Федеральн</w:t>
      </w:r>
      <w:r>
        <w:t>ый</w:t>
      </w:r>
      <w:r w:rsidRPr="00810C00">
        <w:t xml:space="preserve"> закон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t xml:space="preserve"> (далее – Закон о контрактной системе).</w:t>
      </w:r>
    </w:p>
  </w:footnote>
  <w:footnote w:id="5">
    <w:p w:rsidR="000B0091" w:rsidRDefault="000B0091" w:rsidP="000B0091">
      <w:pPr>
        <w:pStyle w:val="af7"/>
        <w:jc w:val="both"/>
      </w:pPr>
      <w:r>
        <w:rPr>
          <w:rStyle w:val="af9"/>
        </w:rPr>
        <w:footnoteRef/>
      </w:r>
      <w:r>
        <w:t xml:space="preserve"> Постановление</w:t>
      </w:r>
      <w:r w:rsidRPr="000B0091">
        <w:t xml:space="preserve"> Правительства Российской Федерации от 28.11.2013 № 1084 «О порядке ведения реестра контрактов, заключенных заказчиками, и реестра контрактов, содержащего сведения, составляющие государственную тайну»</w:t>
      </w:r>
      <w:r>
        <w:t xml:space="preserve"> (далее - Порядок).</w:t>
      </w:r>
    </w:p>
  </w:footnote>
  <w:footnote w:id="6">
    <w:p w:rsidR="001A24B7" w:rsidRDefault="001A24B7" w:rsidP="001A24B7">
      <w:pPr>
        <w:pStyle w:val="af7"/>
        <w:jc w:val="both"/>
      </w:pPr>
      <w:r>
        <w:rPr>
          <w:rStyle w:val="af9"/>
        </w:rPr>
        <w:footnoteRef/>
      </w:r>
      <w:r>
        <w:t xml:space="preserve"> П</w:t>
      </w:r>
      <w:r w:rsidRPr="001A24B7">
        <w:t>риказ Минфина от 28.12.2010 № 191н</w:t>
      </w:r>
      <w:r>
        <w:t xml:space="preserve"> «Об утверждении</w:t>
      </w:r>
      <w:r w:rsidRPr="001A24B7">
        <w:t xml:space="preserve">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</w:t>
      </w:r>
      <w:r>
        <w:t>»</w:t>
      </w:r>
      <w:r w:rsidRPr="001A24B7">
        <w:t xml:space="preserve"> </w:t>
      </w:r>
      <w:r w:rsidR="0071065C">
        <w:t xml:space="preserve">(далее - </w:t>
      </w:r>
      <w:r w:rsidR="0071065C" w:rsidRPr="0071065C">
        <w:t>Инструкци</w:t>
      </w:r>
      <w:r w:rsidR="0071065C">
        <w:t>я</w:t>
      </w:r>
      <w:r w:rsidR="0071065C" w:rsidRPr="0071065C">
        <w:t xml:space="preserve"> № 191н</w:t>
      </w:r>
      <w:r w:rsidR="0071065C">
        <w:t>).</w:t>
      </w:r>
    </w:p>
  </w:footnote>
  <w:footnote w:id="7">
    <w:p w:rsidR="001A24B7" w:rsidRDefault="001A24B7" w:rsidP="001A24B7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1A24B7">
        <w:t>Приказ Минфина Российской Федерации от 01.12.2010 № 157н «Об утверждении Единого плана счетов бухгалтерского уч</w:t>
      </w:r>
      <w:r w:rsidR="0071065C">
        <w:t>ё</w:t>
      </w:r>
      <w:r w:rsidRPr="001A24B7">
        <w:t>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="007E23A7">
        <w:t xml:space="preserve"> (далее – Приказ № 157н).</w:t>
      </w:r>
    </w:p>
  </w:footnote>
  <w:footnote w:id="8">
    <w:p w:rsidR="00C476EF" w:rsidRDefault="00C476EF" w:rsidP="00C476EF">
      <w:pPr>
        <w:pStyle w:val="af7"/>
        <w:jc w:val="both"/>
      </w:pPr>
      <w:r>
        <w:rPr>
          <w:rStyle w:val="af9"/>
        </w:rPr>
        <w:footnoteRef/>
      </w:r>
      <w:r w:rsidR="007E23A7">
        <w:t>П</w:t>
      </w:r>
      <w:r w:rsidRPr="00C476EF">
        <w:t>остановление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 w:rsidR="007E23A7">
        <w:t xml:space="preserve"> (далее - </w:t>
      </w:r>
      <w:r w:rsidR="007E23A7" w:rsidRPr="007E23A7">
        <w:t>Поряд</w:t>
      </w:r>
      <w:r w:rsidR="007E23A7">
        <w:t>о</w:t>
      </w:r>
      <w:r w:rsidR="007E23A7" w:rsidRPr="007E23A7">
        <w:t>к принятия решения о разработке муниципальных программ</w:t>
      </w:r>
      <w:r w:rsidR="007E23A7">
        <w:t>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9E1" w:rsidRDefault="0059731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F46357">
      <w:rPr>
        <w:noProof/>
      </w:rPr>
      <w:t>2</w:t>
    </w:r>
    <w:r>
      <w:fldChar w:fldCharType="end"/>
    </w:r>
  </w:p>
  <w:p w:rsidR="002849E1" w:rsidRDefault="002849E1">
    <w:pPr>
      <w:pStyle w:val="ae"/>
      <w:jc w:val="center"/>
    </w:pPr>
  </w:p>
  <w:p w:rsidR="002849E1" w:rsidRDefault="002849E1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E1"/>
    <w:rsid w:val="0001244E"/>
    <w:rsid w:val="000246F3"/>
    <w:rsid w:val="00046BB3"/>
    <w:rsid w:val="0005158C"/>
    <w:rsid w:val="00053105"/>
    <w:rsid w:val="000646D0"/>
    <w:rsid w:val="000649B5"/>
    <w:rsid w:val="000719F6"/>
    <w:rsid w:val="000863A7"/>
    <w:rsid w:val="00096B92"/>
    <w:rsid w:val="000B0091"/>
    <w:rsid w:val="000B7DF9"/>
    <w:rsid w:val="000C0FDA"/>
    <w:rsid w:val="000C320F"/>
    <w:rsid w:val="000E054B"/>
    <w:rsid w:val="000E2028"/>
    <w:rsid w:val="000F0793"/>
    <w:rsid w:val="000F0AE0"/>
    <w:rsid w:val="000F3DE6"/>
    <w:rsid w:val="000F4770"/>
    <w:rsid w:val="001012F6"/>
    <w:rsid w:val="00105489"/>
    <w:rsid w:val="00110ACC"/>
    <w:rsid w:val="0011407B"/>
    <w:rsid w:val="001167CF"/>
    <w:rsid w:val="001206AD"/>
    <w:rsid w:val="00120DA7"/>
    <w:rsid w:val="0012249D"/>
    <w:rsid w:val="001459B0"/>
    <w:rsid w:val="00147CF9"/>
    <w:rsid w:val="001561A2"/>
    <w:rsid w:val="00156741"/>
    <w:rsid w:val="0016629D"/>
    <w:rsid w:val="001A24B7"/>
    <w:rsid w:val="001A2D18"/>
    <w:rsid w:val="001A5731"/>
    <w:rsid w:val="001B363A"/>
    <w:rsid w:val="001C2201"/>
    <w:rsid w:val="001C38C7"/>
    <w:rsid w:val="001D1A46"/>
    <w:rsid w:val="001D69BF"/>
    <w:rsid w:val="001D789D"/>
    <w:rsid w:val="001E52CF"/>
    <w:rsid w:val="001E7BB7"/>
    <w:rsid w:val="001F03B3"/>
    <w:rsid w:val="001F405F"/>
    <w:rsid w:val="00210DCE"/>
    <w:rsid w:val="0022435F"/>
    <w:rsid w:val="002255F2"/>
    <w:rsid w:val="00227C46"/>
    <w:rsid w:val="00233F52"/>
    <w:rsid w:val="002477C9"/>
    <w:rsid w:val="00250B34"/>
    <w:rsid w:val="0025341C"/>
    <w:rsid w:val="00265094"/>
    <w:rsid w:val="00267D20"/>
    <w:rsid w:val="002849E1"/>
    <w:rsid w:val="002858B9"/>
    <w:rsid w:val="00290D6D"/>
    <w:rsid w:val="00297705"/>
    <w:rsid w:val="002A0286"/>
    <w:rsid w:val="002A681F"/>
    <w:rsid w:val="002B2B26"/>
    <w:rsid w:val="002C0514"/>
    <w:rsid w:val="002D5856"/>
    <w:rsid w:val="002E578E"/>
    <w:rsid w:val="002F0718"/>
    <w:rsid w:val="002F3763"/>
    <w:rsid w:val="00305202"/>
    <w:rsid w:val="003059E1"/>
    <w:rsid w:val="00307981"/>
    <w:rsid w:val="00310255"/>
    <w:rsid w:val="00311B6E"/>
    <w:rsid w:val="003146C4"/>
    <w:rsid w:val="0032200B"/>
    <w:rsid w:val="0032261F"/>
    <w:rsid w:val="003270F3"/>
    <w:rsid w:val="00330504"/>
    <w:rsid w:val="00331ACF"/>
    <w:rsid w:val="00340DF7"/>
    <w:rsid w:val="003445D8"/>
    <w:rsid w:val="003540D3"/>
    <w:rsid w:val="003544FE"/>
    <w:rsid w:val="00360D83"/>
    <w:rsid w:val="003674BA"/>
    <w:rsid w:val="0037468F"/>
    <w:rsid w:val="00374FB9"/>
    <w:rsid w:val="003864ED"/>
    <w:rsid w:val="00386671"/>
    <w:rsid w:val="00396791"/>
    <w:rsid w:val="003B2DB6"/>
    <w:rsid w:val="003D137D"/>
    <w:rsid w:val="003D173D"/>
    <w:rsid w:val="003D19FA"/>
    <w:rsid w:val="003D4366"/>
    <w:rsid w:val="003E1470"/>
    <w:rsid w:val="004079D3"/>
    <w:rsid w:val="00410305"/>
    <w:rsid w:val="00422F5A"/>
    <w:rsid w:val="0042450D"/>
    <w:rsid w:val="00424926"/>
    <w:rsid w:val="00440F77"/>
    <w:rsid w:val="004528D9"/>
    <w:rsid w:val="00454E81"/>
    <w:rsid w:val="004744D5"/>
    <w:rsid w:val="00484F2B"/>
    <w:rsid w:val="0048729D"/>
    <w:rsid w:val="00493A62"/>
    <w:rsid w:val="0049563C"/>
    <w:rsid w:val="004A24F2"/>
    <w:rsid w:val="004A5604"/>
    <w:rsid w:val="004B4CBA"/>
    <w:rsid w:val="004D00FD"/>
    <w:rsid w:val="004D5AAF"/>
    <w:rsid w:val="004D7E03"/>
    <w:rsid w:val="004E6CBA"/>
    <w:rsid w:val="004E7D8E"/>
    <w:rsid w:val="004F0BDC"/>
    <w:rsid w:val="004F43B5"/>
    <w:rsid w:val="00502395"/>
    <w:rsid w:val="00536BBC"/>
    <w:rsid w:val="005425E2"/>
    <w:rsid w:val="00545CF2"/>
    <w:rsid w:val="0055052A"/>
    <w:rsid w:val="00555B4D"/>
    <w:rsid w:val="00580D6D"/>
    <w:rsid w:val="0059731E"/>
    <w:rsid w:val="005A59F5"/>
    <w:rsid w:val="005A6DF0"/>
    <w:rsid w:val="005C59C6"/>
    <w:rsid w:val="005D0FB8"/>
    <w:rsid w:val="005D7098"/>
    <w:rsid w:val="005D7963"/>
    <w:rsid w:val="005E7115"/>
    <w:rsid w:val="005F6A8E"/>
    <w:rsid w:val="00610151"/>
    <w:rsid w:val="006113BC"/>
    <w:rsid w:val="006148C8"/>
    <w:rsid w:val="00621BDB"/>
    <w:rsid w:val="00631AFF"/>
    <w:rsid w:val="00641489"/>
    <w:rsid w:val="00674ED9"/>
    <w:rsid w:val="006809EE"/>
    <w:rsid w:val="00686E19"/>
    <w:rsid w:val="006A42D4"/>
    <w:rsid w:val="006A7F15"/>
    <w:rsid w:val="006B3015"/>
    <w:rsid w:val="006D2AF5"/>
    <w:rsid w:val="006E0B4F"/>
    <w:rsid w:val="006F3596"/>
    <w:rsid w:val="006F56BB"/>
    <w:rsid w:val="00703801"/>
    <w:rsid w:val="0071065C"/>
    <w:rsid w:val="00717C9D"/>
    <w:rsid w:val="00720CFF"/>
    <w:rsid w:val="007220F7"/>
    <w:rsid w:val="00727846"/>
    <w:rsid w:val="007312C0"/>
    <w:rsid w:val="007349D1"/>
    <w:rsid w:val="00740BC4"/>
    <w:rsid w:val="00744095"/>
    <w:rsid w:val="007548F9"/>
    <w:rsid w:val="007603D0"/>
    <w:rsid w:val="007704EA"/>
    <w:rsid w:val="00774D43"/>
    <w:rsid w:val="00775155"/>
    <w:rsid w:val="00783CC1"/>
    <w:rsid w:val="0079646D"/>
    <w:rsid w:val="007B74B6"/>
    <w:rsid w:val="007D39AB"/>
    <w:rsid w:val="007D4E84"/>
    <w:rsid w:val="007D6233"/>
    <w:rsid w:val="007D7657"/>
    <w:rsid w:val="007D786E"/>
    <w:rsid w:val="007E23A7"/>
    <w:rsid w:val="007E448B"/>
    <w:rsid w:val="007E6F7A"/>
    <w:rsid w:val="00810C00"/>
    <w:rsid w:val="00814C1D"/>
    <w:rsid w:val="00825E00"/>
    <w:rsid w:val="008324A6"/>
    <w:rsid w:val="00833CD5"/>
    <w:rsid w:val="00835BDC"/>
    <w:rsid w:val="00843932"/>
    <w:rsid w:val="00862CCB"/>
    <w:rsid w:val="00862E4E"/>
    <w:rsid w:val="0086355A"/>
    <w:rsid w:val="00866196"/>
    <w:rsid w:val="00877785"/>
    <w:rsid w:val="00882916"/>
    <w:rsid w:val="008833AF"/>
    <w:rsid w:val="00891584"/>
    <w:rsid w:val="00896805"/>
    <w:rsid w:val="008978F2"/>
    <w:rsid w:val="008A1EFD"/>
    <w:rsid w:val="008B0DDA"/>
    <w:rsid w:val="008B7934"/>
    <w:rsid w:val="008C3ABC"/>
    <w:rsid w:val="008C69FB"/>
    <w:rsid w:val="008D124A"/>
    <w:rsid w:val="008E2698"/>
    <w:rsid w:val="008E4E6B"/>
    <w:rsid w:val="00913117"/>
    <w:rsid w:val="009158E8"/>
    <w:rsid w:val="00962BD0"/>
    <w:rsid w:val="00982ECD"/>
    <w:rsid w:val="00990575"/>
    <w:rsid w:val="009A0C74"/>
    <w:rsid w:val="009C384C"/>
    <w:rsid w:val="009D61CD"/>
    <w:rsid w:val="009E3621"/>
    <w:rsid w:val="009E501D"/>
    <w:rsid w:val="009E5EB2"/>
    <w:rsid w:val="009E7F6A"/>
    <w:rsid w:val="009F7B38"/>
    <w:rsid w:val="00A10245"/>
    <w:rsid w:val="00A10E9E"/>
    <w:rsid w:val="00A11457"/>
    <w:rsid w:val="00A114C1"/>
    <w:rsid w:val="00A1557B"/>
    <w:rsid w:val="00A20F50"/>
    <w:rsid w:val="00A412D4"/>
    <w:rsid w:val="00A71B5D"/>
    <w:rsid w:val="00A7407F"/>
    <w:rsid w:val="00A80F84"/>
    <w:rsid w:val="00A82406"/>
    <w:rsid w:val="00A8331A"/>
    <w:rsid w:val="00AA038B"/>
    <w:rsid w:val="00AA1167"/>
    <w:rsid w:val="00AA693C"/>
    <w:rsid w:val="00AB1666"/>
    <w:rsid w:val="00AB630A"/>
    <w:rsid w:val="00AC5629"/>
    <w:rsid w:val="00AD233B"/>
    <w:rsid w:val="00AF2506"/>
    <w:rsid w:val="00AF3E2E"/>
    <w:rsid w:val="00AF6F39"/>
    <w:rsid w:val="00B131A9"/>
    <w:rsid w:val="00B17641"/>
    <w:rsid w:val="00B336CF"/>
    <w:rsid w:val="00B36F29"/>
    <w:rsid w:val="00B4176B"/>
    <w:rsid w:val="00B56475"/>
    <w:rsid w:val="00B70644"/>
    <w:rsid w:val="00B83D42"/>
    <w:rsid w:val="00B92123"/>
    <w:rsid w:val="00BB46F5"/>
    <w:rsid w:val="00BD4A4F"/>
    <w:rsid w:val="00BD6259"/>
    <w:rsid w:val="00BE23AD"/>
    <w:rsid w:val="00BE2FD6"/>
    <w:rsid w:val="00BE6804"/>
    <w:rsid w:val="00BE68D7"/>
    <w:rsid w:val="00BF7FE7"/>
    <w:rsid w:val="00C06344"/>
    <w:rsid w:val="00C06B7B"/>
    <w:rsid w:val="00C26AC8"/>
    <w:rsid w:val="00C35138"/>
    <w:rsid w:val="00C412D0"/>
    <w:rsid w:val="00C472B0"/>
    <w:rsid w:val="00C476EF"/>
    <w:rsid w:val="00C52DFE"/>
    <w:rsid w:val="00C551A8"/>
    <w:rsid w:val="00C74126"/>
    <w:rsid w:val="00C805E5"/>
    <w:rsid w:val="00C922D8"/>
    <w:rsid w:val="00C938D4"/>
    <w:rsid w:val="00C95F8D"/>
    <w:rsid w:val="00CB1449"/>
    <w:rsid w:val="00CB69B9"/>
    <w:rsid w:val="00CC081A"/>
    <w:rsid w:val="00CD1F91"/>
    <w:rsid w:val="00CD5D66"/>
    <w:rsid w:val="00CF67E9"/>
    <w:rsid w:val="00D02664"/>
    <w:rsid w:val="00D05ADD"/>
    <w:rsid w:val="00D135C9"/>
    <w:rsid w:val="00D140E1"/>
    <w:rsid w:val="00D35C3F"/>
    <w:rsid w:val="00D36BAB"/>
    <w:rsid w:val="00D50FB3"/>
    <w:rsid w:val="00D50FF0"/>
    <w:rsid w:val="00D5206D"/>
    <w:rsid w:val="00D57025"/>
    <w:rsid w:val="00D70D10"/>
    <w:rsid w:val="00D7726B"/>
    <w:rsid w:val="00D84AA3"/>
    <w:rsid w:val="00D85BBA"/>
    <w:rsid w:val="00D864EF"/>
    <w:rsid w:val="00D94555"/>
    <w:rsid w:val="00DA2F1A"/>
    <w:rsid w:val="00DB42FE"/>
    <w:rsid w:val="00DB6AA1"/>
    <w:rsid w:val="00DD3177"/>
    <w:rsid w:val="00DD5C4A"/>
    <w:rsid w:val="00DD71F4"/>
    <w:rsid w:val="00DE1FB7"/>
    <w:rsid w:val="00DE32CF"/>
    <w:rsid w:val="00DF38C1"/>
    <w:rsid w:val="00E0259C"/>
    <w:rsid w:val="00E055CC"/>
    <w:rsid w:val="00E05C5E"/>
    <w:rsid w:val="00E45A30"/>
    <w:rsid w:val="00E4603F"/>
    <w:rsid w:val="00E61354"/>
    <w:rsid w:val="00E61B80"/>
    <w:rsid w:val="00E64960"/>
    <w:rsid w:val="00E720E3"/>
    <w:rsid w:val="00E74E5C"/>
    <w:rsid w:val="00E81509"/>
    <w:rsid w:val="00E91EAB"/>
    <w:rsid w:val="00E93B04"/>
    <w:rsid w:val="00EE2546"/>
    <w:rsid w:val="00EE2A77"/>
    <w:rsid w:val="00EF2E22"/>
    <w:rsid w:val="00EF6267"/>
    <w:rsid w:val="00F01061"/>
    <w:rsid w:val="00F07B20"/>
    <w:rsid w:val="00F23679"/>
    <w:rsid w:val="00F240BC"/>
    <w:rsid w:val="00F25E59"/>
    <w:rsid w:val="00F26D06"/>
    <w:rsid w:val="00F26F76"/>
    <w:rsid w:val="00F3286E"/>
    <w:rsid w:val="00F373F4"/>
    <w:rsid w:val="00F4183F"/>
    <w:rsid w:val="00F46357"/>
    <w:rsid w:val="00F46D17"/>
    <w:rsid w:val="00F6032E"/>
    <w:rsid w:val="00F67A59"/>
    <w:rsid w:val="00F75D26"/>
    <w:rsid w:val="00F9789E"/>
    <w:rsid w:val="00FC644B"/>
    <w:rsid w:val="00FD0B9E"/>
    <w:rsid w:val="00FD2941"/>
    <w:rsid w:val="00FE0EF1"/>
    <w:rsid w:val="00FF25A5"/>
    <w:rsid w:val="00FF27DC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DF5D"/>
  <w15:docId w15:val="{2DF263B7-ADDB-447C-BEA6-382DB0F0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jc w:val="center"/>
      <w:outlineLvl w:val="2"/>
    </w:pPr>
    <w:rPr>
      <w:b/>
      <w:sz w:val="28"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a3">
    <w:name w:val="List Paragraph"/>
    <w:basedOn w:val="a"/>
    <w:link w:val="a4"/>
    <w:pPr>
      <w:ind w:left="708"/>
    </w:pPr>
    <w:rPr>
      <w:sz w:val="20"/>
    </w:r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0"/>
    </w:rPr>
  </w:style>
  <w:style w:type="paragraph" w:styleId="a5">
    <w:name w:val="Body Text"/>
    <w:basedOn w:val="a"/>
    <w:link w:val="a6"/>
    <w:rPr>
      <w:i/>
      <w:sz w:val="20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i/>
      <w:sz w:val="20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rmal">
    <w:name w:val="ConsPlusNormal"/>
    <w:link w:val="ConsPlusNormal1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1">
    <w:name w:val="ConsPlusNormal1"/>
    <w:link w:val="ConsPlusNormal"/>
    <w:rPr>
      <w:rFonts w:ascii="Arial" w:hAnsi="Arial"/>
      <w:sz w:val="20"/>
    </w:rPr>
  </w:style>
  <w:style w:type="paragraph" w:styleId="a7">
    <w:name w:val="No Spacing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Без интервала Знак"/>
    <w:link w:val="a7"/>
    <w:rPr>
      <w:rFonts w:ascii="Calibri" w:hAnsi="Calibri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8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24"/>
    </w:rPr>
  </w:style>
  <w:style w:type="paragraph" w:styleId="a9">
    <w:name w:val="Normal (Web)"/>
    <w:basedOn w:val="a"/>
    <w:link w:val="aa"/>
    <w:pPr>
      <w:spacing w:beforeAutospacing="1" w:afterAutospacing="1"/>
    </w:p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d"/>
    <w:rPr>
      <w:color w:val="0000FF"/>
      <w:u w:val="single"/>
    </w:rPr>
  </w:style>
  <w:style w:type="character" w:styleId="ad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rFonts w:ascii="Times New Roman" w:hAnsi="Times New Roman"/>
      <w:sz w:val="24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  <w:sz w:val="24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2">
    <w:name w:val="Subtitle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4">
    <w:name w:val="Title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Заголовок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6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7312C0"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312C0"/>
    <w:rPr>
      <w:rFonts w:ascii="Times New Roman"/>
      <w:sz w:val="20"/>
    </w:rPr>
  </w:style>
  <w:style w:type="character" w:styleId="af9">
    <w:name w:val="footnote reference"/>
    <w:basedOn w:val="a0"/>
    <w:uiPriority w:val="99"/>
    <w:semiHidden/>
    <w:unhideWhenUsed/>
    <w:rsid w:val="007312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BC1AD-E41A-4D0A-9DE6-14E942771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6364</TotalTime>
  <Pages>7</Pages>
  <Words>1917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134</cp:revision>
  <cp:lastPrinted>2020-10-05T10:54:00Z</cp:lastPrinted>
  <dcterms:created xsi:type="dcterms:W3CDTF">2019-08-27T05:54:00Z</dcterms:created>
  <dcterms:modified xsi:type="dcterms:W3CDTF">2020-12-16T10:59:00Z</dcterms:modified>
</cp:coreProperties>
</file>