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16" w:rsidRDefault="003B0D2C" w:rsidP="002925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92516">
        <w:rPr>
          <w:rFonts w:ascii="Times New Roman" w:hAnsi="Times New Roman" w:cs="Times New Roman"/>
          <w:b/>
          <w:sz w:val="28"/>
          <w:szCs w:val="28"/>
        </w:rPr>
        <w:t>Глава 2.4</w:t>
      </w:r>
      <w:r w:rsidR="00292516" w:rsidRPr="009F2F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92516">
        <w:rPr>
          <w:rFonts w:ascii="Times New Roman" w:hAnsi="Times New Roman" w:cs="Times New Roman"/>
          <w:b/>
          <w:sz w:val="28"/>
          <w:szCs w:val="28"/>
        </w:rPr>
        <w:t xml:space="preserve">Принятые санкции за нарушения санитарного законодательства в МО </w:t>
      </w:r>
      <w:r w:rsidR="00292516">
        <w:rPr>
          <w:rFonts w:ascii="Times New Roman" w:hAnsi="Times New Roman" w:cs="Times New Roman"/>
          <w:b/>
          <w:sz w:val="28"/>
          <w:szCs w:val="28"/>
        </w:rPr>
        <w:t>г. Нефтеюганск</w:t>
      </w:r>
    </w:p>
    <w:p w:rsidR="00292516" w:rsidRDefault="00292516" w:rsidP="00292516">
      <w:pPr>
        <w:spacing w:after="0"/>
        <w:jc w:val="center"/>
      </w:pPr>
    </w:p>
    <w:p w:rsidR="00292516" w:rsidRDefault="00292516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0E0" w:rsidRDefault="007E20E0" w:rsidP="0029251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 xml:space="preserve">В целях улучшения показателей приоритетных заболеваний, обусловленных неблагоприятным воздействием факторов среды обитания населения автономного округа Управлением Роспотребнадзора по ХМАО-Югре (ТО УФС в </w:t>
      </w:r>
      <w:proofErr w:type="spellStart"/>
      <w:r w:rsidRPr="00DB2F4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B2F4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DB2F48">
        <w:rPr>
          <w:rFonts w:ascii="Times New Roman" w:hAnsi="Times New Roman" w:cs="Times New Roman"/>
          <w:sz w:val="24"/>
          <w:szCs w:val="24"/>
        </w:rPr>
        <w:t>ефтеюганске</w:t>
      </w:r>
      <w:proofErr w:type="spellEnd"/>
      <w:r w:rsidRPr="00DB2F48">
        <w:rPr>
          <w:rFonts w:ascii="Times New Roman" w:hAnsi="Times New Roman" w:cs="Times New Roman"/>
          <w:sz w:val="24"/>
          <w:szCs w:val="24"/>
        </w:rPr>
        <w:t xml:space="preserve">, Нефтеюганском районе и </w:t>
      </w:r>
      <w:proofErr w:type="spellStart"/>
      <w:r w:rsidRPr="00DB2F48">
        <w:rPr>
          <w:rFonts w:ascii="Times New Roman" w:hAnsi="Times New Roman" w:cs="Times New Roman"/>
          <w:sz w:val="24"/>
          <w:szCs w:val="24"/>
        </w:rPr>
        <w:t>г.Пыть-Ях</w:t>
      </w:r>
      <w:proofErr w:type="spellEnd"/>
      <w:r w:rsidRPr="00DB2F48">
        <w:rPr>
          <w:rFonts w:ascii="Times New Roman" w:hAnsi="Times New Roman" w:cs="Times New Roman"/>
          <w:sz w:val="24"/>
          <w:szCs w:val="24"/>
        </w:rPr>
        <w:t>), при проведении контрольно-надзорных мероприятий</w:t>
      </w:r>
      <w:r w:rsidR="00C7226C">
        <w:rPr>
          <w:rFonts w:ascii="Times New Roman" w:hAnsi="Times New Roman" w:cs="Times New Roman"/>
          <w:sz w:val="24"/>
          <w:szCs w:val="24"/>
        </w:rPr>
        <w:t>, а также в рамках административного расследования, эпидемиологического расследования,</w:t>
      </w:r>
      <w:r w:rsidRPr="00DB2F48">
        <w:rPr>
          <w:rFonts w:ascii="Times New Roman" w:hAnsi="Times New Roman" w:cs="Times New Roman"/>
          <w:sz w:val="24"/>
          <w:szCs w:val="24"/>
        </w:rPr>
        <w:t xml:space="preserve"> применяются меры административного принуждения к субъектам хозяйственной деятельности, допускающим нарушения санитарного законодательства и законодательства о защите прав потребителей.</w:t>
      </w:r>
    </w:p>
    <w:p w:rsidR="00DD4151" w:rsidRPr="00DD4151" w:rsidRDefault="00C7226C" w:rsidP="00DD4151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Так, специалистами территориально</w:t>
      </w:r>
      <w:r w:rsidR="00922FD7">
        <w:rPr>
          <w:rFonts w:ascii="Times New Roman" w:hAnsi="Times New Roman" w:cs="Times New Roman"/>
          <w:sz w:val="24"/>
          <w:szCs w:val="24"/>
        </w:rPr>
        <w:t xml:space="preserve">го отдела </w:t>
      </w:r>
      <w:r w:rsidR="00D060A0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4E3767">
        <w:rPr>
          <w:rFonts w:ascii="Times New Roman" w:hAnsi="Times New Roman" w:cs="Times New Roman"/>
          <w:sz w:val="24"/>
          <w:szCs w:val="24"/>
        </w:rPr>
        <w:t xml:space="preserve"> возбуждено 292 дела об административном правонарушении,</w:t>
      </w:r>
      <w:r w:rsidR="004E3767" w:rsidRPr="004E3767">
        <w:rPr>
          <w:rFonts w:ascii="Times New Roman" w:hAnsi="Times New Roman" w:cs="Times New Roman"/>
          <w:sz w:val="24"/>
          <w:szCs w:val="24"/>
        </w:rPr>
        <w:t xml:space="preserve"> </w:t>
      </w:r>
      <w:r w:rsidR="004E3767">
        <w:rPr>
          <w:rFonts w:ascii="Times New Roman" w:hAnsi="Times New Roman" w:cs="Times New Roman"/>
          <w:sz w:val="24"/>
          <w:szCs w:val="24"/>
        </w:rPr>
        <w:t xml:space="preserve">что на 28,7% больше, чем </w:t>
      </w:r>
      <w:r w:rsidR="00865856">
        <w:rPr>
          <w:rFonts w:ascii="Times New Roman" w:hAnsi="Times New Roman" w:cs="Times New Roman"/>
          <w:sz w:val="24"/>
          <w:szCs w:val="24"/>
        </w:rPr>
        <w:t xml:space="preserve"> в 2018 году</w:t>
      </w:r>
      <w:r w:rsidR="004E3767">
        <w:rPr>
          <w:rFonts w:ascii="Times New Roman" w:hAnsi="Times New Roman" w:cs="Times New Roman"/>
          <w:sz w:val="24"/>
          <w:szCs w:val="24"/>
        </w:rPr>
        <w:t>. В 2018 году</w:t>
      </w:r>
      <w:r w:rsidR="00865856">
        <w:rPr>
          <w:rFonts w:ascii="Times New Roman" w:hAnsi="Times New Roman" w:cs="Times New Roman"/>
          <w:sz w:val="24"/>
          <w:szCs w:val="24"/>
        </w:rPr>
        <w:t xml:space="preserve"> возбуждено </w:t>
      </w:r>
      <w:r w:rsidR="00AA39E4">
        <w:rPr>
          <w:rFonts w:ascii="Times New Roman" w:hAnsi="Times New Roman" w:cs="Times New Roman"/>
          <w:sz w:val="24"/>
          <w:szCs w:val="24"/>
        </w:rPr>
        <w:t>208 дел об административном правонарушении,</w:t>
      </w:r>
      <w:r w:rsidR="004E3767">
        <w:rPr>
          <w:rFonts w:ascii="Times New Roman" w:hAnsi="Times New Roman" w:cs="Times New Roman"/>
          <w:sz w:val="24"/>
          <w:szCs w:val="24"/>
        </w:rPr>
        <w:t xml:space="preserve">  что на 20% </w:t>
      </w:r>
      <w:r w:rsidR="00F30A4A">
        <w:rPr>
          <w:rFonts w:ascii="Times New Roman" w:hAnsi="Times New Roman" w:cs="Times New Roman"/>
          <w:sz w:val="24"/>
          <w:szCs w:val="24"/>
        </w:rPr>
        <w:t>меньше, чем в 2017 году.  В</w:t>
      </w:r>
      <w:r w:rsidR="001F124C">
        <w:rPr>
          <w:rFonts w:ascii="Times New Roman" w:hAnsi="Times New Roman" w:cs="Times New Roman"/>
          <w:sz w:val="24"/>
          <w:szCs w:val="24"/>
        </w:rPr>
        <w:t xml:space="preserve"> 2017 году </w:t>
      </w:r>
      <w:r w:rsidR="00E460E4">
        <w:rPr>
          <w:rFonts w:ascii="Times New Roman" w:hAnsi="Times New Roman" w:cs="Times New Roman"/>
          <w:sz w:val="24"/>
          <w:szCs w:val="24"/>
        </w:rPr>
        <w:t xml:space="preserve"> возбуждено 282 дела об а</w:t>
      </w:r>
      <w:r w:rsidR="004E3767">
        <w:rPr>
          <w:rFonts w:ascii="Times New Roman" w:hAnsi="Times New Roman" w:cs="Times New Roman"/>
          <w:sz w:val="24"/>
          <w:szCs w:val="24"/>
        </w:rPr>
        <w:t>дминистративном правонарушении.</w:t>
      </w:r>
      <w:r w:rsidR="00E460E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3767">
        <w:rPr>
          <w:rFonts w:ascii="Times New Roman" w:hAnsi="Times New Roman" w:cs="Times New Roman"/>
          <w:sz w:val="24"/>
          <w:szCs w:val="24"/>
        </w:rPr>
        <w:t>Увеличение количества возбуждённых дел</w:t>
      </w:r>
      <w:r w:rsidR="00922FD7">
        <w:rPr>
          <w:rFonts w:ascii="Times New Roman" w:hAnsi="Times New Roman" w:cs="Times New Roman"/>
          <w:sz w:val="24"/>
          <w:szCs w:val="24"/>
        </w:rPr>
        <w:t xml:space="preserve"> в сравнении с </w:t>
      </w:r>
      <w:r w:rsidR="004E3767">
        <w:rPr>
          <w:rFonts w:ascii="Times New Roman" w:hAnsi="Times New Roman" w:cs="Times New Roman"/>
          <w:sz w:val="24"/>
          <w:szCs w:val="24"/>
        </w:rPr>
        <w:t>2017-2018</w:t>
      </w:r>
      <w:r w:rsidR="00922F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FD7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922FD7">
        <w:rPr>
          <w:rFonts w:ascii="Times New Roman" w:hAnsi="Times New Roman" w:cs="Times New Roman"/>
          <w:sz w:val="24"/>
          <w:szCs w:val="24"/>
        </w:rPr>
        <w:t>.</w:t>
      </w:r>
      <w:r w:rsidR="007E20E0" w:rsidRPr="00DB2F48">
        <w:rPr>
          <w:rFonts w:ascii="Times New Roman" w:hAnsi="Times New Roman" w:cs="Times New Roman"/>
          <w:sz w:val="24"/>
          <w:szCs w:val="24"/>
        </w:rPr>
        <w:t xml:space="preserve"> произошло </w:t>
      </w:r>
      <w:r w:rsidR="00E460E4">
        <w:rPr>
          <w:rFonts w:ascii="Times New Roman" w:hAnsi="Times New Roman" w:cs="Times New Roman"/>
          <w:sz w:val="24"/>
          <w:szCs w:val="24"/>
        </w:rPr>
        <w:t xml:space="preserve"> в результате </w:t>
      </w:r>
      <w:r w:rsidR="004E3767">
        <w:rPr>
          <w:rFonts w:ascii="Times New Roman" w:hAnsi="Times New Roman" w:cs="Times New Roman"/>
          <w:sz w:val="24"/>
          <w:szCs w:val="24"/>
        </w:rPr>
        <w:t xml:space="preserve"> проведения </w:t>
      </w:r>
      <w:r w:rsidR="00DD4151">
        <w:rPr>
          <w:rFonts w:ascii="Times New Roman" w:hAnsi="Times New Roman" w:cs="Times New Roman"/>
          <w:sz w:val="24"/>
          <w:szCs w:val="24"/>
        </w:rPr>
        <w:t xml:space="preserve">массовых </w:t>
      </w:r>
      <w:r w:rsidR="004E3767">
        <w:rPr>
          <w:rFonts w:ascii="Times New Roman" w:hAnsi="Times New Roman" w:cs="Times New Roman"/>
          <w:sz w:val="24"/>
          <w:szCs w:val="24"/>
        </w:rPr>
        <w:t xml:space="preserve">контрольно – надзорных мероприятий предприятий торговли в соответствии с Приказом </w:t>
      </w:r>
      <w:r w:rsidR="00DD4151" w:rsidRPr="00DD4151">
        <w:rPr>
          <w:rFonts w:ascii="Times New Roman" w:hAnsi="Times New Roman"/>
          <w:sz w:val="24"/>
          <w:szCs w:val="24"/>
        </w:rPr>
        <w:t>Федеральной службы по надзору в сфере защиты прав потребителей и благополучия человека № 458 от 08.07.2019г. «О проведении внеплановых выездных проверок соблюдения правил продажи отдельных видов товаров в части размещения (выкладки) молочных, молочных составных и молоко</w:t>
      </w:r>
      <w:proofErr w:type="gramEnd"/>
      <w:r w:rsidR="00DD4151" w:rsidRPr="00DD4151">
        <w:rPr>
          <w:rFonts w:ascii="Times New Roman" w:hAnsi="Times New Roman"/>
          <w:sz w:val="24"/>
          <w:szCs w:val="24"/>
        </w:rPr>
        <w:t xml:space="preserve"> содержащих продуктов»</w:t>
      </w:r>
      <w:r w:rsidR="002B1AAE">
        <w:rPr>
          <w:rFonts w:ascii="Times New Roman" w:hAnsi="Times New Roman"/>
          <w:sz w:val="24"/>
          <w:szCs w:val="24"/>
        </w:rPr>
        <w:t>, а так же увеличения количества контрольно-надзорных мероприятий промышленных предприятий.</w:t>
      </w:r>
    </w:p>
    <w:p w:rsidR="00F30A4A" w:rsidRPr="00DB2F48" w:rsidRDefault="00F30A4A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0E0" w:rsidRPr="006A4DB0" w:rsidRDefault="006A4DB0" w:rsidP="007E20E0">
      <w:pPr>
        <w:rPr>
          <w:rFonts w:ascii="Times New Roman" w:hAnsi="Times New Roman" w:cs="Times New Roman"/>
          <w:sz w:val="24"/>
          <w:szCs w:val="24"/>
        </w:rPr>
      </w:pPr>
      <w:r w:rsidRPr="006A4DB0">
        <w:rPr>
          <w:rFonts w:ascii="Times New Roman" w:hAnsi="Times New Roman" w:cs="Times New Roman"/>
          <w:sz w:val="24"/>
          <w:szCs w:val="24"/>
        </w:rPr>
        <w:t>Таблица №1</w:t>
      </w:r>
      <w:r w:rsidR="00F30A4A">
        <w:rPr>
          <w:rFonts w:ascii="Times New Roman" w:hAnsi="Times New Roman" w:cs="Times New Roman"/>
          <w:sz w:val="24"/>
          <w:szCs w:val="24"/>
        </w:rPr>
        <w:t xml:space="preserve"> Количество возбужденных дел об административном правонарушении</w:t>
      </w:r>
    </w:p>
    <w:p w:rsidR="007E20E0" w:rsidRPr="007E20E0" w:rsidRDefault="007E20E0" w:rsidP="007E20E0">
      <w:r w:rsidRPr="007E20E0">
        <w:tab/>
      </w:r>
      <w:r w:rsidRPr="007E20E0">
        <w:rPr>
          <w:noProof/>
          <w:lang w:eastAsia="ru-RU"/>
        </w:rPr>
        <w:drawing>
          <wp:inline distT="0" distB="0" distL="0" distR="0" wp14:anchorId="778FF8BD" wp14:editId="69467174">
            <wp:extent cx="2752725" cy="1809750"/>
            <wp:effectExtent l="0" t="0" r="0" b="0"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F48E9" w:rsidRDefault="007E20E0" w:rsidP="007F48E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 xml:space="preserve">   </w:t>
      </w:r>
      <w:r w:rsidR="00DD4151">
        <w:rPr>
          <w:rFonts w:ascii="Times New Roman" w:hAnsi="Times New Roman" w:cs="Times New Roman"/>
          <w:sz w:val="24"/>
          <w:szCs w:val="24"/>
        </w:rPr>
        <w:t xml:space="preserve">В 2019 году </w:t>
      </w:r>
      <w:r w:rsidR="00DD4151" w:rsidRPr="00DB2F48">
        <w:rPr>
          <w:rFonts w:ascii="Times New Roman" w:hAnsi="Times New Roman" w:cs="Times New Roman"/>
          <w:sz w:val="24"/>
          <w:szCs w:val="24"/>
        </w:rPr>
        <w:t>территориальным отделом</w:t>
      </w:r>
      <w:r w:rsidR="002D7568">
        <w:rPr>
          <w:rFonts w:ascii="Times New Roman" w:hAnsi="Times New Roman" w:cs="Times New Roman"/>
          <w:sz w:val="24"/>
          <w:szCs w:val="24"/>
        </w:rPr>
        <w:t xml:space="preserve"> вынесено</w:t>
      </w:r>
      <w:r w:rsidR="002D7568" w:rsidRPr="00DB2F48">
        <w:rPr>
          <w:rFonts w:ascii="Times New Roman" w:hAnsi="Times New Roman" w:cs="Times New Roman"/>
          <w:sz w:val="24"/>
          <w:szCs w:val="24"/>
        </w:rPr>
        <w:t xml:space="preserve"> (учитываются протоколы, поступившие из ОМВД и прокуратуры) постановлений о наложении административного наказания</w:t>
      </w:r>
      <w:r w:rsidR="002D7568">
        <w:rPr>
          <w:rFonts w:ascii="Times New Roman" w:hAnsi="Times New Roman" w:cs="Times New Roman"/>
          <w:sz w:val="24"/>
          <w:szCs w:val="24"/>
        </w:rPr>
        <w:t xml:space="preserve"> </w:t>
      </w:r>
      <w:r w:rsidR="00A92E28">
        <w:rPr>
          <w:rFonts w:ascii="Times New Roman" w:hAnsi="Times New Roman" w:cs="Times New Roman"/>
          <w:sz w:val="24"/>
          <w:szCs w:val="24"/>
        </w:rPr>
        <w:t>–</w:t>
      </w:r>
      <w:r w:rsidR="002D7568">
        <w:rPr>
          <w:rFonts w:ascii="Times New Roman" w:hAnsi="Times New Roman" w:cs="Times New Roman"/>
          <w:sz w:val="24"/>
          <w:szCs w:val="24"/>
        </w:rPr>
        <w:t xml:space="preserve"> </w:t>
      </w:r>
      <w:r w:rsidR="00277B58">
        <w:rPr>
          <w:rFonts w:ascii="Times New Roman" w:hAnsi="Times New Roman" w:cs="Times New Roman"/>
          <w:sz w:val="24"/>
          <w:szCs w:val="24"/>
        </w:rPr>
        <w:t>328</w:t>
      </w:r>
      <w:r w:rsidR="00DD4151">
        <w:rPr>
          <w:rFonts w:ascii="Times New Roman" w:hAnsi="Times New Roman" w:cs="Times New Roman"/>
          <w:sz w:val="24"/>
          <w:szCs w:val="24"/>
        </w:rPr>
        <w:t>, в 2018 году -</w:t>
      </w:r>
      <w:r w:rsidR="00C72BA2">
        <w:rPr>
          <w:rFonts w:ascii="Times New Roman" w:hAnsi="Times New Roman" w:cs="Times New Roman"/>
          <w:sz w:val="24"/>
          <w:szCs w:val="24"/>
        </w:rPr>
        <w:t xml:space="preserve">213, в том числе административных наказаний в виде штрафа – </w:t>
      </w:r>
      <w:r w:rsidR="007F48E9">
        <w:rPr>
          <w:rFonts w:ascii="Times New Roman" w:hAnsi="Times New Roman" w:cs="Times New Roman"/>
          <w:sz w:val="24"/>
          <w:szCs w:val="24"/>
        </w:rPr>
        <w:t>259, что составляет 79% от общего числа наложенных наказаний, вынесенных постановлений по делу об административном правонарушении.</w:t>
      </w:r>
    </w:p>
    <w:p w:rsidR="00C72BA2" w:rsidRDefault="007F48E9" w:rsidP="00C72BA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вынесено</w:t>
      </w:r>
      <w:r w:rsidRPr="00DB2F48">
        <w:rPr>
          <w:rFonts w:ascii="Times New Roman" w:hAnsi="Times New Roman" w:cs="Times New Roman"/>
          <w:sz w:val="24"/>
          <w:szCs w:val="24"/>
        </w:rPr>
        <w:t xml:space="preserve"> (учитываются протоколы, поступившие из ОМВД и прокуратуры) постановлений о наложении административного наказания</w:t>
      </w:r>
      <w:r>
        <w:rPr>
          <w:rFonts w:ascii="Times New Roman" w:hAnsi="Times New Roman" w:cs="Times New Roman"/>
          <w:sz w:val="24"/>
          <w:szCs w:val="24"/>
        </w:rPr>
        <w:t xml:space="preserve"> – 213, в том числе административных наказаний в виде штрафа - </w:t>
      </w:r>
      <w:r w:rsidR="00C72BA2">
        <w:rPr>
          <w:rFonts w:ascii="Times New Roman" w:hAnsi="Times New Roman" w:cs="Times New Roman"/>
          <w:sz w:val="24"/>
          <w:szCs w:val="24"/>
        </w:rPr>
        <w:t>206, что составляет 96,7% от общего числа наложенных наказаний, вынесенных постановлений по делу об административном правонарушении.</w:t>
      </w:r>
    </w:p>
    <w:p w:rsidR="007F48E9" w:rsidRDefault="00C72BA2" w:rsidP="001618FF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20E0" w:rsidRPr="00DB2F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5AC5">
        <w:rPr>
          <w:rFonts w:ascii="Times New Roman" w:hAnsi="Times New Roman" w:cs="Times New Roman"/>
          <w:sz w:val="24"/>
          <w:szCs w:val="24"/>
        </w:rPr>
        <w:t>В 2017 году</w:t>
      </w:r>
      <w:r w:rsidR="00855AC5" w:rsidRPr="00855AC5">
        <w:rPr>
          <w:rFonts w:ascii="Times New Roman" w:hAnsi="Times New Roman" w:cs="Times New Roman"/>
          <w:sz w:val="24"/>
          <w:szCs w:val="24"/>
        </w:rPr>
        <w:t xml:space="preserve"> </w:t>
      </w:r>
      <w:r w:rsidR="00855AC5">
        <w:rPr>
          <w:rFonts w:ascii="Times New Roman" w:hAnsi="Times New Roman" w:cs="Times New Roman"/>
          <w:sz w:val="24"/>
          <w:szCs w:val="24"/>
        </w:rPr>
        <w:t>число вынесено</w:t>
      </w:r>
      <w:r w:rsidR="00855AC5" w:rsidRPr="00DB2F48">
        <w:rPr>
          <w:rFonts w:ascii="Times New Roman" w:hAnsi="Times New Roman" w:cs="Times New Roman"/>
          <w:sz w:val="24"/>
          <w:szCs w:val="24"/>
        </w:rPr>
        <w:t xml:space="preserve"> территориальным</w:t>
      </w:r>
      <w:r w:rsidR="00A92E28">
        <w:rPr>
          <w:rFonts w:ascii="Times New Roman" w:hAnsi="Times New Roman" w:cs="Times New Roman"/>
          <w:sz w:val="24"/>
          <w:szCs w:val="24"/>
        </w:rPr>
        <w:t xml:space="preserve"> отделом, в том числе</w:t>
      </w:r>
      <w:r w:rsidR="00855AC5" w:rsidRPr="00DB2F48">
        <w:rPr>
          <w:rFonts w:ascii="Times New Roman" w:hAnsi="Times New Roman" w:cs="Times New Roman"/>
          <w:sz w:val="24"/>
          <w:szCs w:val="24"/>
        </w:rPr>
        <w:t xml:space="preserve"> поступившие из ОМВД и прокуратуры) постановлений о наложении административного наказания</w:t>
      </w:r>
      <w:r w:rsidR="00855AC5">
        <w:rPr>
          <w:rFonts w:ascii="Times New Roman" w:hAnsi="Times New Roman" w:cs="Times New Roman"/>
          <w:sz w:val="24"/>
          <w:szCs w:val="24"/>
        </w:rPr>
        <w:t xml:space="preserve"> – 334, </w:t>
      </w:r>
      <w:r w:rsidR="00855AC5">
        <w:rPr>
          <w:rFonts w:ascii="Times New Roman" w:hAnsi="Times New Roman" w:cs="Times New Roman"/>
          <w:sz w:val="24"/>
          <w:szCs w:val="24"/>
        </w:rPr>
        <w:lastRenderedPageBreak/>
        <w:t xml:space="preserve">что в том числе в виде штрафа 330, что составляет  99% от общего количества вынесенных постановлений. </w:t>
      </w:r>
      <w:proofErr w:type="gramEnd"/>
    </w:p>
    <w:p w:rsidR="001618FF" w:rsidRDefault="007F48E9" w:rsidP="0029251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сравнении с 2018</w:t>
      </w:r>
      <w:r w:rsidR="001618FF">
        <w:rPr>
          <w:rFonts w:ascii="Times New Roman" w:hAnsi="Times New Roman" w:cs="Times New Roman"/>
          <w:sz w:val="24"/>
          <w:szCs w:val="24"/>
        </w:rPr>
        <w:t xml:space="preserve"> годом количество выне</w:t>
      </w:r>
      <w:r>
        <w:rPr>
          <w:rFonts w:ascii="Times New Roman" w:hAnsi="Times New Roman" w:cs="Times New Roman"/>
          <w:sz w:val="24"/>
          <w:szCs w:val="24"/>
        </w:rPr>
        <w:t>сенных постановлений увеличилось на 35%  в связи с увеличением</w:t>
      </w:r>
      <w:r w:rsidR="001618FF">
        <w:rPr>
          <w:rFonts w:ascii="Times New Roman" w:hAnsi="Times New Roman" w:cs="Times New Roman"/>
          <w:sz w:val="24"/>
          <w:szCs w:val="24"/>
        </w:rPr>
        <w:t xml:space="preserve"> количества возбужденных администр</w:t>
      </w:r>
      <w:r>
        <w:rPr>
          <w:rFonts w:ascii="Times New Roman" w:hAnsi="Times New Roman" w:cs="Times New Roman"/>
          <w:sz w:val="24"/>
          <w:szCs w:val="24"/>
        </w:rPr>
        <w:t>ативных дел, увеличением количества контрольно-надзорных мероприятий.</w:t>
      </w:r>
    </w:p>
    <w:p w:rsidR="007E20E0" w:rsidRDefault="007E20E0" w:rsidP="002925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>Вынесено постановлений о назначении административного наказания в виде предупреждения</w:t>
      </w:r>
      <w:r w:rsidR="007F48E9">
        <w:rPr>
          <w:rFonts w:ascii="Times New Roman" w:hAnsi="Times New Roman" w:cs="Times New Roman"/>
          <w:sz w:val="24"/>
          <w:szCs w:val="24"/>
        </w:rPr>
        <w:t xml:space="preserve"> в 2019 году -69, что составляет 21%</w:t>
      </w:r>
      <w:r w:rsidR="007F48E9" w:rsidRPr="007F48E9">
        <w:rPr>
          <w:rFonts w:ascii="Times New Roman" w:hAnsi="Times New Roman" w:cs="Times New Roman"/>
          <w:sz w:val="24"/>
          <w:szCs w:val="24"/>
        </w:rPr>
        <w:t xml:space="preserve"> </w:t>
      </w:r>
      <w:r w:rsidR="007F48E9">
        <w:rPr>
          <w:rFonts w:ascii="Times New Roman" w:hAnsi="Times New Roman" w:cs="Times New Roman"/>
          <w:sz w:val="24"/>
          <w:szCs w:val="24"/>
        </w:rPr>
        <w:t>от общего количества вынесенных постановлений,</w:t>
      </w:r>
      <w:r w:rsidR="00855AC5">
        <w:rPr>
          <w:rFonts w:ascii="Times New Roman" w:hAnsi="Times New Roman" w:cs="Times New Roman"/>
          <w:sz w:val="24"/>
          <w:szCs w:val="24"/>
        </w:rPr>
        <w:t xml:space="preserve"> в </w:t>
      </w:r>
      <w:r w:rsidR="00D71639">
        <w:rPr>
          <w:rFonts w:ascii="Times New Roman" w:hAnsi="Times New Roman" w:cs="Times New Roman"/>
          <w:sz w:val="24"/>
          <w:szCs w:val="24"/>
        </w:rPr>
        <w:t xml:space="preserve">2018 году -7, что составляет 3,2% от общего количества вынесенных постановлений,  в </w:t>
      </w:r>
      <w:r w:rsidR="00855AC5">
        <w:rPr>
          <w:rFonts w:ascii="Times New Roman" w:hAnsi="Times New Roman" w:cs="Times New Roman"/>
          <w:sz w:val="24"/>
          <w:szCs w:val="24"/>
        </w:rPr>
        <w:t>2017 году - 4, что составляет 0,9% от общего количества вынесенных постановлений</w:t>
      </w:r>
      <w:proofErr w:type="gramStart"/>
      <w:r w:rsidR="00D7163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71639">
        <w:rPr>
          <w:rFonts w:ascii="Times New Roman" w:hAnsi="Times New Roman" w:cs="Times New Roman"/>
          <w:sz w:val="24"/>
          <w:szCs w:val="24"/>
        </w:rPr>
        <w:t xml:space="preserve"> </w:t>
      </w:r>
      <w:r w:rsidR="006A4DB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6A4DB0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6A4DB0">
        <w:rPr>
          <w:rFonts w:ascii="Times New Roman" w:hAnsi="Times New Roman" w:cs="Times New Roman"/>
          <w:sz w:val="24"/>
          <w:szCs w:val="24"/>
        </w:rPr>
        <w:t>аблица №2)</w:t>
      </w:r>
    </w:p>
    <w:p w:rsidR="007F48E9" w:rsidRDefault="007F48E9" w:rsidP="002925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году увеличилось количество наложенных наказаний в виде предупреждения в связи с привлечением к административной ответственности субъектов малого и среднего предпринимательства за впервые выявленные правонарушения.</w:t>
      </w:r>
    </w:p>
    <w:p w:rsidR="00A62460" w:rsidRPr="00A62460" w:rsidRDefault="00A62460" w:rsidP="00292516">
      <w:pPr>
        <w:pStyle w:val="Default"/>
        <w:jc w:val="both"/>
      </w:pPr>
      <w:r w:rsidRPr="00A62460">
        <w:t xml:space="preserve">При рассмотрении дел об административных правонарушениях должностные лица  руководствуются характером совершенного правонарушения, его обстоятельствами и принципом соразмерности назначаемого наказания в целях предупреждения новых правонарушений, в том числе при рассмотрении учитываются: </w:t>
      </w:r>
    </w:p>
    <w:p w:rsidR="00A62460" w:rsidRPr="00A62460" w:rsidRDefault="00A62460" w:rsidP="00292516">
      <w:pPr>
        <w:pStyle w:val="Default"/>
        <w:jc w:val="both"/>
      </w:pPr>
      <w:r>
        <w:t>-</w:t>
      </w:r>
      <w:r w:rsidRPr="00A62460">
        <w:t xml:space="preserve"> имущественное и финансовое (материальное) положение лица, наличие обстоятельств, смягчающих и (или) отягчающих административную ответственность, предусмотренную статьями 4.2, 4.3 КоАП; </w:t>
      </w:r>
    </w:p>
    <w:p w:rsidR="00A62460" w:rsidRPr="00A62460" w:rsidRDefault="00A62460" w:rsidP="00292516">
      <w:pPr>
        <w:pStyle w:val="Default"/>
        <w:jc w:val="both"/>
      </w:pPr>
      <w:r>
        <w:t>-</w:t>
      </w:r>
      <w:r w:rsidRPr="00A62460">
        <w:t xml:space="preserve"> в отношении субъектов малого и среднего предпринимательства положения статьи 4.1.1 КоАП – возможность замены административного наказания в виде административного штрафа предупреждением и т.д. </w:t>
      </w:r>
    </w:p>
    <w:p w:rsidR="00A62460" w:rsidRPr="00A62460" w:rsidRDefault="00A62460" w:rsidP="00292516">
      <w:pPr>
        <w:pStyle w:val="Default"/>
        <w:jc w:val="both"/>
      </w:pPr>
    </w:p>
    <w:p w:rsidR="00A62460" w:rsidRPr="00A62460" w:rsidRDefault="00A62460" w:rsidP="002925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названное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, в2019</w:t>
      </w:r>
      <w:r w:rsidRPr="00A62460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а должностными лицами в 69 </w:t>
      </w:r>
      <w:r w:rsidRPr="00A62460">
        <w:rPr>
          <w:rFonts w:ascii="Times New Roman" w:hAnsi="Times New Roman" w:cs="Times New Roman"/>
          <w:sz w:val="24"/>
          <w:szCs w:val="24"/>
        </w:rPr>
        <w:t>случаях назначены административные наказания в виде предупреждения</w:t>
      </w:r>
    </w:p>
    <w:p w:rsidR="007E20E0" w:rsidRPr="006A4DB0" w:rsidRDefault="006A4DB0" w:rsidP="0095719F">
      <w:pPr>
        <w:jc w:val="both"/>
        <w:rPr>
          <w:rFonts w:ascii="Times New Roman" w:hAnsi="Times New Roman" w:cs="Times New Roman"/>
          <w:sz w:val="24"/>
          <w:szCs w:val="24"/>
        </w:rPr>
      </w:pPr>
      <w:r w:rsidRPr="006A4DB0">
        <w:rPr>
          <w:rFonts w:ascii="Times New Roman" w:hAnsi="Times New Roman" w:cs="Times New Roman"/>
          <w:sz w:val="24"/>
          <w:szCs w:val="24"/>
        </w:rPr>
        <w:t>Таблица №2</w:t>
      </w:r>
      <w:r w:rsidR="0095719F">
        <w:rPr>
          <w:rFonts w:ascii="Times New Roman" w:hAnsi="Times New Roman" w:cs="Times New Roman"/>
          <w:sz w:val="24"/>
          <w:szCs w:val="24"/>
        </w:rPr>
        <w:t xml:space="preserve"> Количество вынесенных постановлений по делу об административном правонарушении</w:t>
      </w:r>
    </w:p>
    <w:p w:rsidR="007E20E0" w:rsidRPr="007E20E0" w:rsidRDefault="007E20E0" w:rsidP="007E20E0">
      <w:r>
        <w:rPr>
          <w:noProof/>
          <w:lang w:eastAsia="ru-RU"/>
        </w:rPr>
        <w:drawing>
          <wp:inline distT="0" distB="0" distL="0" distR="0">
            <wp:extent cx="4448175" cy="2552700"/>
            <wp:effectExtent l="0" t="0" r="9525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E20E0" w:rsidRPr="007E20E0" w:rsidRDefault="007E20E0" w:rsidP="007E20E0"/>
    <w:p w:rsidR="007F48E9" w:rsidRDefault="007E20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 xml:space="preserve">ТО УФС Роспотребнадзора в </w:t>
      </w:r>
      <w:proofErr w:type="spellStart"/>
      <w:r w:rsidRPr="00DB2F4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B2F4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DB2F48">
        <w:rPr>
          <w:rFonts w:ascii="Times New Roman" w:hAnsi="Times New Roman" w:cs="Times New Roman"/>
          <w:sz w:val="24"/>
          <w:szCs w:val="24"/>
        </w:rPr>
        <w:t>ефтеюганске</w:t>
      </w:r>
      <w:proofErr w:type="spellEnd"/>
      <w:r w:rsidRPr="00DB2F48">
        <w:rPr>
          <w:rFonts w:ascii="Times New Roman" w:hAnsi="Times New Roman" w:cs="Times New Roman"/>
          <w:sz w:val="24"/>
          <w:szCs w:val="24"/>
        </w:rPr>
        <w:t xml:space="preserve">, Нефтеюганском районе и </w:t>
      </w:r>
      <w:proofErr w:type="spellStart"/>
      <w:r w:rsidRPr="00DB2F48">
        <w:rPr>
          <w:rFonts w:ascii="Times New Roman" w:hAnsi="Times New Roman" w:cs="Times New Roman"/>
          <w:sz w:val="24"/>
          <w:szCs w:val="24"/>
        </w:rPr>
        <w:t>г.Пыть-Ях</w:t>
      </w:r>
      <w:proofErr w:type="spellEnd"/>
      <w:r w:rsidRPr="00DB2F48">
        <w:rPr>
          <w:rFonts w:ascii="Times New Roman" w:hAnsi="Times New Roman" w:cs="Times New Roman"/>
          <w:sz w:val="24"/>
          <w:szCs w:val="24"/>
        </w:rPr>
        <w:t xml:space="preserve"> за период</w:t>
      </w:r>
      <w:r w:rsidR="00DC195E">
        <w:rPr>
          <w:rFonts w:ascii="Times New Roman" w:hAnsi="Times New Roman" w:cs="Times New Roman"/>
          <w:sz w:val="24"/>
          <w:szCs w:val="24"/>
        </w:rPr>
        <w:t xml:space="preserve"> </w:t>
      </w:r>
      <w:r w:rsidR="007F48E9">
        <w:rPr>
          <w:rFonts w:ascii="Times New Roman" w:hAnsi="Times New Roman" w:cs="Times New Roman"/>
          <w:sz w:val="24"/>
          <w:szCs w:val="24"/>
        </w:rPr>
        <w:t xml:space="preserve">2019 года </w:t>
      </w:r>
      <w:r w:rsidR="00965C4D">
        <w:rPr>
          <w:rFonts w:ascii="Times New Roman" w:hAnsi="Times New Roman" w:cs="Times New Roman"/>
          <w:sz w:val="24"/>
          <w:szCs w:val="24"/>
        </w:rPr>
        <w:t xml:space="preserve">направлено на рассмотрение в суд всего 38 дел об административном правонарушении, что практически одинаково в сравнении с 2018 годом (40 дел), в том числе  21 дело направлено в суд за правонарушения, совершенные на территории города </w:t>
      </w:r>
      <w:r w:rsidR="00965C4D">
        <w:rPr>
          <w:rFonts w:ascii="Times New Roman" w:hAnsi="Times New Roman" w:cs="Times New Roman"/>
          <w:sz w:val="24"/>
          <w:szCs w:val="24"/>
        </w:rPr>
        <w:lastRenderedPageBreak/>
        <w:t xml:space="preserve">Нефтеюганска. В 2018 году  в суды направлено19 административных дел за совершение правонарушений на территории </w:t>
      </w:r>
      <w:proofErr w:type="spellStart"/>
      <w:r w:rsidR="00965C4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65C4D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965C4D">
        <w:rPr>
          <w:rFonts w:ascii="Times New Roman" w:hAnsi="Times New Roman" w:cs="Times New Roman"/>
          <w:sz w:val="24"/>
          <w:szCs w:val="24"/>
        </w:rPr>
        <w:t>ефтеюганска</w:t>
      </w:r>
      <w:proofErr w:type="spellEnd"/>
    </w:p>
    <w:p w:rsidR="001D5F21" w:rsidRDefault="001E3D82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5F21">
        <w:rPr>
          <w:rFonts w:ascii="Times New Roman" w:hAnsi="Times New Roman" w:cs="Times New Roman"/>
          <w:sz w:val="24"/>
          <w:szCs w:val="24"/>
        </w:rPr>
        <w:t>В 2019 году с</w:t>
      </w:r>
      <w:r w:rsidR="000402E8">
        <w:rPr>
          <w:rFonts w:ascii="Times New Roman" w:hAnsi="Times New Roman" w:cs="Times New Roman"/>
          <w:sz w:val="24"/>
          <w:szCs w:val="24"/>
        </w:rPr>
        <w:t xml:space="preserve">удом вынесено </w:t>
      </w:r>
      <w:r w:rsidR="001D5F21">
        <w:rPr>
          <w:rFonts w:ascii="Times New Roman" w:hAnsi="Times New Roman" w:cs="Times New Roman"/>
          <w:sz w:val="24"/>
          <w:szCs w:val="24"/>
        </w:rPr>
        <w:t xml:space="preserve">19 решений по делу об административном </w:t>
      </w:r>
      <w:proofErr w:type="gramStart"/>
      <w:r w:rsidR="001D5F21">
        <w:rPr>
          <w:rFonts w:ascii="Times New Roman" w:hAnsi="Times New Roman" w:cs="Times New Roman"/>
          <w:sz w:val="24"/>
          <w:szCs w:val="24"/>
        </w:rPr>
        <w:t>правонарушении</w:t>
      </w:r>
      <w:proofErr w:type="gramEnd"/>
      <w:r w:rsidR="001D5F21">
        <w:rPr>
          <w:rFonts w:ascii="Times New Roman" w:hAnsi="Times New Roman" w:cs="Times New Roman"/>
          <w:sz w:val="24"/>
          <w:szCs w:val="24"/>
        </w:rPr>
        <w:t xml:space="preserve"> о назначении наказаний в виде штрафа, в том числе 5 штрафов с конфискацией предметов правонарушения, 1  решение о приостановление деятельности предприятия  общественного питания.</w:t>
      </w:r>
      <w:r w:rsidR="000226C4">
        <w:rPr>
          <w:rFonts w:ascii="Times New Roman" w:hAnsi="Times New Roman" w:cs="Times New Roman"/>
          <w:sz w:val="24"/>
          <w:szCs w:val="24"/>
        </w:rPr>
        <w:t xml:space="preserve"> 1 дело прекращено судом  в связи с отсутствием состава правонарушения.</w:t>
      </w:r>
    </w:p>
    <w:p w:rsidR="00094807" w:rsidRDefault="000226C4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 су</w:t>
      </w:r>
      <w:r w:rsidR="001D5F21">
        <w:rPr>
          <w:rFonts w:ascii="Times New Roman" w:hAnsi="Times New Roman" w:cs="Times New Roman"/>
          <w:sz w:val="24"/>
          <w:szCs w:val="24"/>
        </w:rPr>
        <w:t xml:space="preserve">дом вынесено </w:t>
      </w:r>
      <w:r w:rsidR="000402E8">
        <w:rPr>
          <w:rFonts w:ascii="Times New Roman" w:hAnsi="Times New Roman" w:cs="Times New Roman"/>
          <w:sz w:val="24"/>
          <w:szCs w:val="24"/>
        </w:rPr>
        <w:t xml:space="preserve">13 решений о назначении наказания в виде административного штрафа,  6 административных наказаний в виде </w:t>
      </w:r>
      <w:r w:rsidR="00C34AF2">
        <w:rPr>
          <w:rFonts w:ascii="Times New Roman" w:hAnsi="Times New Roman" w:cs="Times New Roman"/>
          <w:sz w:val="24"/>
          <w:szCs w:val="24"/>
        </w:rPr>
        <w:t>административного приостановления деятельности объектов торговли, общественного питания, производства пищевой продукции.</w:t>
      </w:r>
    </w:p>
    <w:p w:rsidR="000226C4" w:rsidRDefault="000226C4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в сравнении с 2018 году, в 2019 году судом вынесено судебных решений о назначении наказания </w:t>
      </w:r>
      <w:r w:rsidR="007122FF">
        <w:rPr>
          <w:rFonts w:ascii="Times New Roman" w:hAnsi="Times New Roman" w:cs="Times New Roman"/>
          <w:sz w:val="24"/>
          <w:szCs w:val="24"/>
        </w:rPr>
        <w:t>одинаковое количество.</w:t>
      </w:r>
    </w:p>
    <w:p w:rsidR="00BE5A76" w:rsidRDefault="00DC195E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года направлено на рассмотрение в суд </w:t>
      </w:r>
      <w:r w:rsidR="000F3AE0">
        <w:rPr>
          <w:rFonts w:ascii="Times New Roman" w:hAnsi="Times New Roman" w:cs="Times New Roman"/>
          <w:sz w:val="24"/>
          <w:szCs w:val="24"/>
        </w:rPr>
        <w:t xml:space="preserve"> 41 административный материал, что на 39% больше, чем в 2016 году и на 15% больше, чем в 2015 году.  В</w:t>
      </w:r>
      <w:r w:rsidR="00D32E96">
        <w:rPr>
          <w:rFonts w:ascii="Times New Roman" w:hAnsi="Times New Roman" w:cs="Times New Roman"/>
          <w:sz w:val="24"/>
          <w:szCs w:val="24"/>
        </w:rPr>
        <w:t xml:space="preserve"> 2016 г. </w:t>
      </w:r>
      <w:r w:rsidR="00D32E96" w:rsidRPr="00DB2F48">
        <w:rPr>
          <w:rFonts w:ascii="Times New Roman" w:hAnsi="Times New Roman" w:cs="Times New Roman"/>
          <w:sz w:val="24"/>
          <w:szCs w:val="24"/>
        </w:rPr>
        <w:t xml:space="preserve"> напр</w:t>
      </w:r>
      <w:r w:rsidR="00BE5A76">
        <w:rPr>
          <w:rFonts w:ascii="Times New Roman" w:hAnsi="Times New Roman" w:cs="Times New Roman"/>
          <w:sz w:val="24"/>
          <w:szCs w:val="24"/>
        </w:rPr>
        <w:t xml:space="preserve">авлено на рассмотрение в суд  </w:t>
      </w:r>
      <w:r w:rsidR="00D32E96">
        <w:rPr>
          <w:rFonts w:ascii="Times New Roman" w:hAnsi="Times New Roman" w:cs="Times New Roman"/>
          <w:sz w:val="24"/>
          <w:szCs w:val="24"/>
        </w:rPr>
        <w:t>2</w:t>
      </w:r>
      <w:r w:rsidR="00D32E96" w:rsidRPr="00DB2F48">
        <w:rPr>
          <w:rFonts w:ascii="Times New Roman" w:hAnsi="Times New Roman" w:cs="Times New Roman"/>
          <w:sz w:val="24"/>
          <w:szCs w:val="24"/>
        </w:rPr>
        <w:t>5 административных материалов</w:t>
      </w:r>
      <w:r w:rsidR="00D32E96">
        <w:rPr>
          <w:rFonts w:ascii="Times New Roman" w:hAnsi="Times New Roman" w:cs="Times New Roman"/>
          <w:sz w:val="24"/>
          <w:szCs w:val="24"/>
        </w:rPr>
        <w:t>, что на 4% меньше, чем в 2015 году</w:t>
      </w:r>
      <w:r w:rsidR="00BE5A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22FF" w:rsidRDefault="00BE5A76" w:rsidP="003B6F0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>Доля вынесенных решений по делу об административном правонарушении о привлечении к административной ответственности</w:t>
      </w:r>
      <w:r w:rsidR="007122FF">
        <w:rPr>
          <w:rFonts w:ascii="Times New Roman" w:hAnsi="Times New Roman" w:cs="Times New Roman"/>
          <w:sz w:val="24"/>
          <w:szCs w:val="24"/>
        </w:rPr>
        <w:t xml:space="preserve"> в 2019 году составила 96%</w:t>
      </w:r>
      <w:r w:rsidR="007122FF" w:rsidRPr="007122FF">
        <w:rPr>
          <w:rFonts w:ascii="Times New Roman" w:hAnsi="Times New Roman" w:cs="Times New Roman"/>
          <w:sz w:val="24"/>
          <w:szCs w:val="24"/>
        </w:rPr>
        <w:t xml:space="preserve"> </w:t>
      </w:r>
      <w:r w:rsidR="007122FF">
        <w:rPr>
          <w:rFonts w:ascii="Times New Roman" w:hAnsi="Times New Roman" w:cs="Times New Roman"/>
          <w:sz w:val="24"/>
          <w:szCs w:val="24"/>
        </w:rPr>
        <w:t>от всех переданных дел на рассмотрение</w:t>
      </w:r>
      <w:proofErr w:type="gramStart"/>
      <w:r w:rsidR="007122F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22FF" w:rsidRPr="003B6F01">
        <w:rPr>
          <w:rFonts w:ascii="Times New Roman" w:hAnsi="Times New Roman" w:cs="Times New Roman"/>
          <w:sz w:val="24"/>
          <w:szCs w:val="24"/>
        </w:rPr>
        <w:t xml:space="preserve"> </w:t>
      </w:r>
      <w:r w:rsidR="007122FF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7122FF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7122FF">
        <w:rPr>
          <w:rFonts w:ascii="Times New Roman" w:hAnsi="Times New Roman" w:cs="Times New Roman"/>
          <w:sz w:val="24"/>
          <w:szCs w:val="24"/>
        </w:rPr>
        <w:t>а счет прекращенных судом дел об административных правонарушениях)</w:t>
      </w:r>
    </w:p>
    <w:p w:rsidR="003B6F01" w:rsidRDefault="007122FF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3B6F01">
        <w:rPr>
          <w:rFonts w:ascii="Times New Roman" w:hAnsi="Times New Roman" w:cs="Times New Roman"/>
          <w:sz w:val="24"/>
          <w:szCs w:val="24"/>
        </w:rPr>
        <w:t xml:space="preserve"> 2018 году составила  90% от всех переданных дел на рассмотрение</w:t>
      </w:r>
      <w:proofErr w:type="gramStart"/>
      <w:r w:rsidR="003B6F0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B6F01" w:rsidRPr="003B6F01">
        <w:rPr>
          <w:rFonts w:ascii="Times New Roman" w:hAnsi="Times New Roman" w:cs="Times New Roman"/>
          <w:sz w:val="24"/>
          <w:szCs w:val="24"/>
        </w:rPr>
        <w:t xml:space="preserve"> </w:t>
      </w:r>
      <w:r w:rsidR="003B6F0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3B6F0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3B6F01">
        <w:rPr>
          <w:rFonts w:ascii="Times New Roman" w:hAnsi="Times New Roman" w:cs="Times New Roman"/>
          <w:sz w:val="24"/>
          <w:szCs w:val="24"/>
        </w:rPr>
        <w:t>а счет прекращенных судом дел об административных правонарушениях)</w:t>
      </w:r>
    </w:p>
    <w:p w:rsidR="00D32E96" w:rsidRDefault="000F3A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году составила 99%, </w:t>
      </w:r>
      <w:r w:rsidR="00BE5A76">
        <w:rPr>
          <w:rFonts w:ascii="Times New Roman" w:hAnsi="Times New Roman" w:cs="Times New Roman"/>
          <w:sz w:val="24"/>
          <w:szCs w:val="24"/>
        </w:rPr>
        <w:t xml:space="preserve"> в 2016 году</w:t>
      </w:r>
      <w:r w:rsidR="00BE5A76" w:rsidRPr="00DB2F48">
        <w:rPr>
          <w:rFonts w:ascii="Times New Roman" w:hAnsi="Times New Roman" w:cs="Times New Roman"/>
          <w:sz w:val="24"/>
          <w:szCs w:val="24"/>
        </w:rPr>
        <w:t xml:space="preserve"> составила</w:t>
      </w:r>
      <w:r w:rsidR="00BE5A76">
        <w:rPr>
          <w:rFonts w:ascii="Times New Roman" w:hAnsi="Times New Roman" w:cs="Times New Roman"/>
          <w:sz w:val="24"/>
          <w:szCs w:val="24"/>
        </w:rPr>
        <w:t xml:space="preserve"> 100%, в то время как в 2015 году доля  таких решений составила 88,6%, в 2014 году – 87% (за счет прекращенных судом дел об административных правонарушениях)</w:t>
      </w:r>
    </w:p>
    <w:p w:rsidR="007122FF" w:rsidRDefault="007122FF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году судом вынесено 5 решений</w:t>
      </w:r>
      <w:r w:rsidRPr="007122FF">
        <w:rPr>
          <w:rFonts w:ascii="Times New Roman" w:hAnsi="Times New Roman" w:cs="Times New Roman"/>
          <w:sz w:val="24"/>
          <w:szCs w:val="24"/>
        </w:rPr>
        <w:t xml:space="preserve"> </w:t>
      </w:r>
      <w:r w:rsidRPr="00DB2F48">
        <w:rPr>
          <w:rFonts w:ascii="Times New Roman" w:hAnsi="Times New Roman" w:cs="Times New Roman"/>
          <w:sz w:val="24"/>
          <w:szCs w:val="24"/>
        </w:rPr>
        <w:t>о наложении административного наказания в виде штрафа с конфискацией предметов правонарушения</w:t>
      </w:r>
      <w:r>
        <w:rPr>
          <w:rFonts w:ascii="Times New Roman" w:hAnsi="Times New Roman" w:cs="Times New Roman"/>
          <w:sz w:val="24"/>
          <w:szCs w:val="24"/>
        </w:rPr>
        <w:t xml:space="preserve"> (по ч.2 ст.15.12 КоАП РФ), что составляет 25%</w:t>
      </w:r>
      <w:r w:rsidR="005F486F" w:rsidRPr="005F486F">
        <w:rPr>
          <w:rFonts w:ascii="Times New Roman" w:hAnsi="Times New Roman" w:cs="Times New Roman"/>
          <w:sz w:val="24"/>
          <w:szCs w:val="24"/>
        </w:rPr>
        <w:t xml:space="preserve"> </w:t>
      </w:r>
      <w:r w:rsidR="005F486F">
        <w:rPr>
          <w:rFonts w:ascii="Times New Roman" w:hAnsi="Times New Roman" w:cs="Times New Roman"/>
          <w:sz w:val="24"/>
          <w:szCs w:val="24"/>
        </w:rPr>
        <w:t>от общего числа вынесенных судом решений.</w:t>
      </w:r>
    </w:p>
    <w:p w:rsidR="00D21E85" w:rsidRDefault="004712A7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2018 году судом вынесено 2 решения решение </w:t>
      </w:r>
      <w:r w:rsidRPr="00DB2F48">
        <w:rPr>
          <w:rFonts w:ascii="Times New Roman" w:hAnsi="Times New Roman" w:cs="Times New Roman"/>
          <w:sz w:val="24"/>
          <w:szCs w:val="24"/>
        </w:rPr>
        <w:t>о наложении административного наказания в виде штрафа с конфискацией предметов правонарушения</w:t>
      </w:r>
      <w:r>
        <w:rPr>
          <w:rFonts w:ascii="Times New Roman" w:hAnsi="Times New Roman" w:cs="Times New Roman"/>
          <w:sz w:val="24"/>
          <w:szCs w:val="24"/>
        </w:rPr>
        <w:t xml:space="preserve"> (по ч.2 ст.15.12 КоАП РФ), что составляет 5% от общего числа вынесенных судом решений.</w:t>
      </w:r>
    </w:p>
    <w:p w:rsidR="000F3AE0" w:rsidRPr="00DB2F48" w:rsidRDefault="000F3A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 году судом вынесено 1 решение </w:t>
      </w:r>
      <w:r w:rsidRPr="00DB2F48">
        <w:rPr>
          <w:rFonts w:ascii="Times New Roman" w:hAnsi="Times New Roman" w:cs="Times New Roman"/>
          <w:sz w:val="24"/>
          <w:szCs w:val="24"/>
        </w:rPr>
        <w:t>о наложении административного наказания в виде штрафа с конфискацией предметов правонарушения</w:t>
      </w:r>
      <w:r>
        <w:rPr>
          <w:rFonts w:ascii="Times New Roman" w:hAnsi="Times New Roman" w:cs="Times New Roman"/>
          <w:sz w:val="24"/>
          <w:szCs w:val="24"/>
        </w:rPr>
        <w:t xml:space="preserve"> (по ч.2 ст.15.12 КоАП РФ), что составляет 3% от общего числа вынесенных судом решений.</w:t>
      </w:r>
    </w:p>
    <w:p w:rsidR="000F3AE0" w:rsidRDefault="007E20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2F48">
        <w:rPr>
          <w:rFonts w:ascii="Times New Roman" w:hAnsi="Times New Roman" w:cs="Times New Roman"/>
          <w:sz w:val="24"/>
          <w:szCs w:val="24"/>
        </w:rPr>
        <w:t>Данн</w:t>
      </w:r>
      <w:r w:rsidR="000F3AE0">
        <w:rPr>
          <w:rFonts w:ascii="Times New Roman" w:hAnsi="Times New Roman" w:cs="Times New Roman"/>
          <w:sz w:val="24"/>
          <w:szCs w:val="24"/>
        </w:rPr>
        <w:t>ый по</w:t>
      </w:r>
      <w:r w:rsidR="005F486F">
        <w:rPr>
          <w:rFonts w:ascii="Times New Roman" w:hAnsi="Times New Roman" w:cs="Times New Roman"/>
          <w:sz w:val="24"/>
          <w:szCs w:val="24"/>
        </w:rPr>
        <w:t>казатель в сравнении с 2018</w:t>
      </w:r>
      <w:r w:rsidR="004712A7">
        <w:rPr>
          <w:rFonts w:ascii="Times New Roman" w:hAnsi="Times New Roman" w:cs="Times New Roman"/>
          <w:sz w:val="24"/>
          <w:szCs w:val="24"/>
        </w:rPr>
        <w:t>-2017</w:t>
      </w:r>
      <w:r w:rsidR="000F3AE0">
        <w:rPr>
          <w:rFonts w:ascii="Times New Roman" w:hAnsi="Times New Roman" w:cs="Times New Roman"/>
          <w:sz w:val="24"/>
          <w:szCs w:val="24"/>
        </w:rPr>
        <w:t xml:space="preserve"> годами</w:t>
      </w:r>
      <w:r w:rsidR="005F486F">
        <w:rPr>
          <w:rFonts w:ascii="Times New Roman" w:hAnsi="Times New Roman" w:cs="Times New Roman"/>
          <w:sz w:val="24"/>
          <w:szCs w:val="24"/>
        </w:rPr>
        <w:t xml:space="preserve"> существенно изменился в сторону увеличения</w:t>
      </w:r>
      <w:r w:rsidRPr="00DB2F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486F" w:rsidRDefault="005F486F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 году судом приостановлена деятельность одного предприятия общественного питания</w:t>
      </w:r>
      <w:r w:rsidR="00E54244">
        <w:rPr>
          <w:rFonts w:ascii="Times New Roman" w:hAnsi="Times New Roman" w:cs="Times New Roman"/>
          <w:sz w:val="24"/>
          <w:szCs w:val="24"/>
        </w:rPr>
        <w:t>, что составляет 5%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244">
        <w:rPr>
          <w:rFonts w:ascii="Times New Roman" w:hAnsi="Times New Roman" w:cs="Times New Roman"/>
          <w:sz w:val="24"/>
          <w:szCs w:val="24"/>
        </w:rPr>
        <w:t>от общего числа материалов, направленных на рассмотрение в суд.</w:t>
      </w:r>
    </w:p>
    <w:p w:rsidR="004712A7" w:rsidRDefault="004712A7" w:rsidP="004712A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 году суд</w:t>
      </w:r>
      <w:r w:rsidR="000C2607">
        <w:rPr>
          <w:rFonts w:ascii="Times New Roman" w:hAnsi="Times New Roman" w:cs="Times New Roman"/>
          <w:sz w:val="24"/>
          <w:szCs w:val="24"/>
        </w:rPr>
        <w:t>ом приостановлена деятельность 5</w:t>
      </w:r>
      <w:r>
        <w:rPr>
          <w:rFonts w:ascii="Times New Roman" w:hAnsi="Times New Roman" w:cs="Times New Roman"/>
          <w:sz w:val="24"/>
          <w:szCs w:val="24"/>
        </w:rPr>
        <w:t xml:space="preserve"> предприятий общественного питания, торговли,</w:t>
      </w:r>
      <w:r w:rsidR="000C2607">
        <w:rPr>
          <w:rFonts w:ascii="Times New Roman" w:hAnsi="Times New Roman" w:cs="Times New Roman"/>
          <w:sz w:val="24"/>
          <w:szCs w:val="24"/>
        </w:rPr>
        <w:t xml:space="preserve"> производства, что составляет 10</w:t>
      </w:r>
      <w:r>
        <w:rPr>
          <w:rFonts w:ascii="Times New Roman" w:hAnsi="Times New Roman" w:cs="Times New Roman"/>
          <w:sz w:val="24"/>
          <w:szCs w:val="24"/>
        </w:rPr>
        <w:t>% от общего числа материалов, направленных на рассмотрение в суд, и что на 37% больше, чем в 2017году</w:t>
      </w:r>
      <w:r w:rsidR="009A5808">
        <w:rPr>
          <w:rFonts w:ascii="Times New Roman" w:hAnsi="Times New Roman" w:cs="Times New Roman"/>
          <w:sz w:val="24"/>
          <w:szCs w:val="24"/>
        </w:rPr>
        <w:t>.</w:t>
      </w:r>
    </w:p>
    <w:p w:rsidR="000F3AE0" w:rsidRDefault="000F3AE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 году судом приостановлена деятельность </w:t>
      </w:r>
      <w:r w:rsidR="00C3223B">
        <w:rPr>
          <w:rFonts w:ascii="Times New Roman" w:hAnsi="Times New Roman" w:cs="Times New Roman"/>
          <w:sz w:val="24"/>
          <w:szCs w:val="24"/>
        </w:rPr>
        <w:t>5 предприятий общественного питания, торговли, а также 1 промышленного транспортного предприятия (ООО ТЭК Север)</w:t>
      </w:r>
      <w:r w:rsidR="00C1681B">
        <w:rPr>
          <w:rFonts w:ascii="Times New Roman" w:hAnsi="Times New Roman" w:cs="Times New Roman"/>
          <w:sz w:val="24"/>
          <w:szCs w:val="24"/>
        </w:rPr>
        <w:t>, что составляет 12% от общего числа материалов, направленных на рассмотрение в суд, и что на 40% больше, чем в 2016году</w:t>
      </w:r>
    </w:p>
    <w:p w:rsidR="00E54244" w:rsidRDefault="00E54244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наложенных штра</w:t>
      </w:r>
      <w:r w:rsidR="00493CAF">
        <w:rPr>
          <w:rFonts w:ascii="Times New Roman" w:hAnsi="Times New Roman" w:cs="Times New Roman"/>
          <w:sz w:val="24"/>
          <w:szCs w:val="24"/>
        </w:rPr>
        <w:t>фов в 2019 году составила 2747,5 млн. рублей, что на 10</w:t>
      </w:r>
      <w:r>
        <w:rPr>
          <w:rFonts w:ascii="Times New Roman" w:hAnsi="Times New Roman" w:cs="Times New Roman"/>
          <w:sz w:val="24"/>
          <w:szCs w:val="24"/>
        </w:rPr>
        <w:t>% меньше, чем в 2018 году.</w:t>
      </w:r>
    </w:p>
    <w:p w:rsidR="009A5808" w:rsidRDefault="00BA5AB2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наложенных административных штрафов в</w:t>
      </w:r>
      <w:r w:rsidR="008603EC">
        <w:rPr>
          <w:rFonts w:ascii="Times New Roman" w:hAnsi="Times New Roman" w:cs="Times New Roman"/>
          <w:sz w:val="24"/>
          <w:szCs w:val="24"/>
        </w:rPr>
        <w:t xml:space="preserve"> </w:t>
      </w:r>
      <w:r w:rsidR="009A5808">
        <w:rPr>
          <w:rFonts w:ascii="Times New Roman" w:hAnsi="Times New Roman" w:cs="Times New Roman"/>
          <w:sz w:val="24"/>
          <w:szCs w:val="24"/>
        </w:rPr>
        <w:t xml:space="preserve">2018 году составила </w:t>
      </w:r>
      <w:r w:rsidR="00883960">
        <w:rPr>
          <w:rFonts w:ascii="Times New Roman" w:hAnsi="Times New Roman" w:cs="Times New Roman"/>
          <w:sz w:val="24"/>
          <w:szCs w:val="24"/>
        </w:rPr>
        <w:t xml:space="preserve">3070,2 млн. рублей, что на 14% меньше, чем в 2017 году. Уменьшение суммы наложенных штрафов произошло вследствие уменьшения количества вынесенных постановлений о назначении </w:t>
      </w:r>
      <w:r w:rsidR="00883960">
        <w:rPr>
          <w:rFonts w:ascii="Times New Roman" w:hAnsi="Times New Roman" w:cs="Times New Roman"/>
          <w:sz w:val="24"/>
          <w:szCs w:val="24"/>
        </w:rPr>
        <w:lastRenderedPageBreak/>
        <w:t>наказания в виде штрафа и увеличения наложения административных наказаний в виде предупреждения.</w:t>
      </w:r>
    </w:p>
    <w:p w:rsidR="007E20E0" w:rsidRDefault="008603E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году </w:t>
      </w:r>
      <w:r w:rsidR="008660AF">
        <w:rPr>
          <w:rFonts w:ascii="Times New Roman" w:hAnsi="Times New Roman" w:cs="Times New Roman"/>
          <w:sz w:val="24"/>
          <w:szCs w:val="24"/>
        </w:rPr>
        <w:t xml:space="preserve"> составила 3596,0</w:t>
      </w:r>
      <w:r w:rsidR="00C2525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25254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C25254">
        <w:rPr>
          <w:rFonts w:ascii="Times New Roman" w:hAnsi="Times New Roman" w:cs="Times New Roman"/>
          <w:sz w:val="24"/>
          <w:szCs w:val="24"/>
        </w:rPr>
        <w:t>,</w:t>
      </w:r>
      <w:r w:rsidR="00AC1EF9">
        <w:rPr>
          <w:rFonts w:ascii="Times New Roman" w:hAnsi="Times New Roman" w:cs="Times New Roman"/>
          <w:sz w:val="24"/>
          <w:szCs w:val="24"/>
        </w:rPr>
        <w:t xml:space="preserve"> что на 28% меньше</w:t>
      </w:r>
      <w:r w:rsidR="00DD543E">
        <w:rPr>
          <w:rFonts w:ascii="Times New Roman" w:hAnsi="Times New Roman" w:cs="Times New Roman"/>
          <w:sz w:val="24"/>
          <w:szCs w:val="24"/>
        </w:rPr>
        <w:t>, чем в 2016году. В</w:t>
      </w:r>
      <w:r w:rsidR="00C25254">
        <w:rPr>
          <w:rFonts w:ascii="Times New Roman" w:hAnsi="Times New Roman" w:cs="Times New Roman"/>
          <w:sz w:val="24"/>
          <w:szCs w:val="24"/>
        </w:rPr>
        <w:t xml:space="preserve"> </w:t>
      </w:r>
      <w:r w:rsidR="00BA5AB2">
        <w:rPr>
          <w:rFonts w:ascii="Times New Roman" w:hAnsi="Times New Roman" w:cs="Times New Roman"/>
          <w:sz w:val="24"/>
          <w:szCs w:val="24"/>
        </w:rPr>
        <w:t xml:space="preserve"> 2016 году</w:t>
      </w:r>
      <w:r w:rsidR="00DD543E">
        <w:rPr>
          <w:rFonts w:ascii="Times New Roman" w:hAnsi="Times New Roman" w:cs="Times New Roman"/>
          <w:sz w:val="24"/>
          <w:szCs w:val="24"/>
        </w:rPr>
        <w:t xml:space="preserve"> сумма наложенных штрафов </w:t>
      </w:r>
      <w:r w:rsidR="00BA5AB2">
        <w:rPr>
          <w:rFonts w:ascii="Times New Roman" w:hAnsi="Times New Roman" w:cs="Times New Roman"/>
          <w:sz w:val="24"/>
          <w:szCs w:val="24"/>
        </w:rPr>
        <w:t xml:space="preserve"> увеличилась</w:t>
      </w:r>
      <w:r w:rsidR="00B51AD6">
        <w:rPr>
          <w:rFonts w:ascii="Times New Roman" w:hAnsi="Times New Roman" w:cs="Times New Roman"/>
          <w:sz w:val="24"/>
          <w:szCs w:val="24"/>
        </w:rPr>
        <w:t xml:space="preserve"> на 28% в сравнении с 2015 годом</w:t>
      </w:r>
      <w:r w:rsidR="00BA5AB2">
        <w:rPr>
          <w:rFonts w:ascii="Times New Roman" w:hAnsi="Times New Roman" w:cs="Times New Roman"/>
          <w:sz w:val="24"/>
          <w:szCs w:val="24"/>
        </w:rPr>
        <w:t>,</w:t>
      </w:r>
      <w:r w:rsidR="00B51AD6">
        <w:rPr>
          <w:rFonts w:ascii="Times New Roman" w:hAnsi="Times New Roman" w:cs="Times New Roman"/>
          <w:sz w:val="24"/>
          <w:szCs w:val="24"/>
        </w:rPr>
        <w:t xml:space="preserve"> на 19,7% в сравнении с 2014 годом и </w:t>
      </w:r>
      <w:r w:rsidR="00BA5AB2">
        <w:rPr>
          <w:rFonts w:ascii="Times New Roman" w:hAnsi="Times New Roman" w:cs="Times New Roman"/>
          <w:sz w:val="24"/>
          <w:szCs w:val="24"/>
        </w:rPr>
        <w:t xml:space="preserve"> составляет 4967,6 рублей, что значительно больше, </w:t>
      </w:r>
      <w:r w:rsidR="00F7652E">
        <w:rPr>
          <w:rFonts w:ascii="Times New Roman" w:hAnsi="Times New Roman" w:cs="Times New Roman"/>
          <w:sz w:val="24"/>
          <w:szCs w:val="24"/>
        </w:rPr>
        <w:t>ч</w:t>
      </w:r>
      <w:r w:rsidR="00BA5AB2">
        <w:rPr>
          <w:rFonts w:ascii="Times New Roman" w:hAnsi="Times New Roman" w:cs="Times New Roman"/>
          <w:sz w:val="24"/>
          <w:szCs w:val="24"/>
        </w:rPr>
        <w:t xml:space="preserve">ем </w:t>
      </w:r>
      <w:proofErr w:type="gramStart"/>
      <w:r w:rsidR="00F7652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7652E">
        <w:rPr>
          <w:rFonts w:ascii="Times New Roman" w:hAnsi="Times New Roman" w:cs="Times New Roman"/>
          <w:sz w:val="24"/>
          <w:szCs w:val="24"/>
        </w:rPr>
        <w:t xml:space="preserve"> 2014-2015 </w:t>
      </w:r>
      <w:proofErr w:type="spellStart"/>
      <w:r w:rsidR="00F7652E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F7652E">
        <w:rPr>
          <w:rFonts w:ascii="Times New Roman" w:hAnsi="Times New Roman" w:cs="Times New Roman"/>
          <w:sz w:val="24"/>
          <w:szCs w:val="24"/>
        </w:rPr>
        <w:t xml:space="preserve">. </w:t>
      </w:r>
      <w:r w:rsidR="00883960">
        <w:rPr>
          <w:rFonts w:ascii="Times New Roman" w:hAnsi="Times New Roman" w:cs="Times New Roman"/>
          <w:sz w:val="24"/>
          <w:szCs w:val="24"/>
        </w:rPr>
        <w:t xml:space="preserve"> </w:t>
      </w:r>
      <w:r w:rsidR="006A4DB0">
        <w:rPr>
          <w:rFonts w:ascii="Times New Roman" w:hAnsi="Times New Roman" w:cs="Times New Roman"/>
          <w:sz w:val="24"/>
          <w:szCs w:val="24"/>
        </w:rPr>
        <w:t>(таблица №3)</w:t>
      </w:r>
    </w:p>
    <w:p w:rsidR="00883960" w:rsidRPr="00DB2F48" w:rsidRDefault="00883960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0E0" w:rsidRPr="006A4DB0" w:rsidRDefault="006A4DB0" w:rsidP="007E20E0">
      <w:pPr>
        <w:rPr>
          <w:rFonts w:ascii="Times New Roman" w:hAnsi="Times New Roman" w:cs="Times New Roman"/>
          <w:sz w:val="24"/>
          <w:szCs w:val="24"/>
        </w:rPr>
      </w:pPr>
      <w:r w:rsidRPr="006A4DB0">
        <w:rPr>
          <w:rFonts w:ascii="Times New Roman" w:hAnsi="Times New Roman" w:cs="Times New Roman"/>
          <w:sz w:val="24"/>
          <w:szCs w:val="24"/>
        </w:rPr>
        <w:t>Таблица №3</w:t>
      </w:r>
      <w:r w:rsidR="00883960">
        <w:rPr>
          <w:rFonts w:ascii="Times New Roman" w:hAnsi="Times New Roman" w:cs="Times New Roman"/>
          <w:sz w:val="24"/>
          <w:szCs w:val="24"/>
        </w:rPr>
        <w:t xml:space="preserve"> Сумма наложенного штрафа</w:t>
      </w:r>
    </w:p>
    <w:p w:rsidR="007E20E0" w:rsidRPr="007E20E0" w:rsidRDefault="007E20E0" w:rsidP="007E20E0">
      <w:r w:rsidRPr="007E20E0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E7B66A7" wp14:editId="6F1DE3A4">
            <wp:simplePos x="0" y="0"/>
            <wp:positionH relativeFrom="column">
              <wp:posOffset>1626235</wp:posOffset>
            </wp:positionH>
            <wp:positionV relativeFrom="paragraph">
              <wp:posOffset>46990</wp:posOffset>
            </wp:positionV>
            <wp:extent cx="3153410" cy="1809115"/>
            <wp:effectExtent l="0" t="0" r="1905" b="1905"/>
            <wp:wrapSquare wrapText="right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2DE8" w:rsidRDefault="007E20E0" w:rsidP="006F0773">
      <w:pPr>
        <w:jc w:val="both"/>
        <w:rPr>
          <w:noProof/>
          <w:lang w:eastAsia="ru-RU"/>
        </w:rPr>
      </w:pPr>
      <w:r w:rsidRPr="007E20E0">
        <w:t xml:space="preserve">                                                                         </w:t>
      </w:r>
    </w:p>
    <w:p w:rsidR="00172DE8" w:rsidRDefault="00172DE8" w:rsidP="006F0773">
      <w:pPr>
        <w:jc w:val="both"/>
        <w:rPr>
          <w:noProof/>
          <w:lang w:eastAsia="ru-RU"/>
        </w:rPr>
      </w:pPr>
    </w:p>
    <w:p w:rsidR="00172DE8" w:rsidRDefault="00172DE8" w:rsidP="006F0773">
      <w:pPr>
        <w:jc w:val="both"/>
        <w:rPr>
          <w:noProof/>
          <w:lang w:eastAsia="ru-RU"/>
        </w:rPr>
      </w:pPr>
    </w:p>
    <w:p w:rsidR="00172DE8" w:rsidRDefault="00172DE8" w:rsidP="006F0773">
      <w:pPr>
        <w:jc w:val="both"/>
        <w:rPr>
          <w:noProof/>
          <w:lang w:eastAsia="ru-RU"/>
        </w:rPr>
      </w:pPr>
    </w:p>
    <w:p w:rsidR="00172DE8" w:rsidRDefault="00172DE8" w:rsidP="006F0773">
      <w:pPr>
        <w:jc w:val="both"/>
        <w:rPr>
          <w:noProof/>
          <w:lang w:eastAsia="ru-RU"/>
        </w:rPr>
      </w:pPr>
    </w:p>
    <w:p w:rsidR="007E20E0" w:rsidRDefault="00577FA8" w:rsidP="00E54244">
      <w:pPr>
        <w:spacing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Уменьшение</w:t>
      </w:r>
      <w:r w:rsidR="00E54244">
        <w:rPr>
          <w:rFonts w:ascii="Times New Roman" w:hAnsi="Times New Roman" w:cs="Times New Roman"/>
          <w:sz w:val="24"/>
          <w:szCs w:val="24"/>
        </w:rPr>
        <w:t xml:space="preserve"> сумм штрафов в 2019</w:t>
      </w:r>
      <w:r w:rsidR="00F7652E" w:rsidRPr="00D44186">
        <w:rPr>
          <w:rFonts w:ascii="Times New Roman" w:hAnsi="Times New Roman" w:cs="Times New Roman"/>
          <w:sz w:val="24"/>
          <w:szCs w:val="24"/>
        </w:rPr>
        <w:t xml:space="preserve"> году произошло за счет </w:t>
      </w:r>
      <w:r>
        <w:rPr>
          <w:rFonts w:ascii="Times New Roman" w:hAnsi="Times New Roman" w:cs="Times New Roman"/>
          <w:sz w:val="24"/>
          <w:szCs w:val="24"/>
        </w:rPr>
        <w:t xml:space="preserve"> уменьшения</w:t>
      </w:r>
      <w:r w:rsidR="00DD54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количества </w:t>
      </w:r>
      <w:r w:rsidR="00D44186" w:rsidRPr="00D44186">
        <w:rPr>
          <w:rFonts w:ascii="Times New Roman" w:hAnsi="Times New Roman" w:cs="Times New Roman"/>
          <w:sz w:val="24"/>
          <w:szCs w:val="24"/>
        </w:rPr>
        <w:t>возбужденных дел в отношении юридических</w:t>
      </w:r>
      <w:r w:rsidR="00DD543E">
        <w:rPr>
          <w:rFonts w:ascii="Times New Roman" w:hAnsi="Times New Roman" w:cs="Times New Roman"/>
          <w:sz w:val="24"/>
          <w:szCs w:val="24"/>
        </w:rPr>
        <w:t>, должностных</w:t>
      </w:r>
      <w:r w:rsidR="00D44186" w:rsidRPr="00D44186">
        <w:rPr>
          <w:rFonts w:ascii="Times New Roman" w:hAnsi="Times New Roman" w:cs="Times New Roman"/>
          <w:sz w:val="24"/>
          <w:szCs w:val="24"/>
        </w:rPr>
        <w:t xml:space="preserve"> лиц в соответствии с Кодексом об административ</w:t>
      </w:r>
      <w:r w:rsidR="00DD543E">
        <w:rPr>
          <w:rFonts w:ascii="Times New Roman" w:hAnsi="Times New Roman" w:cs="Times New Roman"/>
          <w:sz w:val="24"/>
          <w:szCs w:val="24"/>
        </w:rPr>
        <w:t>ных правонарушениях Российской Ф</w:t>
      </w:r>
      <w:r w:rsidR="006F0773">
        <w:rPr>
          <w:rFonts w:ascii="Times New Roman" w:hAnsi="Times New Roman" w:cs="Times New Roman"/>
          <w:sz w:val="24"/>
          <w:szCs w:val="24"/>
        </w:rPr>
        <w:t>едерации и увеличения количества вынесенных постановлений  о назначении наказания в виде предупреждения.</w:t>
      </w:r>
      <w:r w:rsidR="007E20E0" w:rsidRPr="007E20E0">
        <w:t xml:space="preserve">     </w:t>
      </w:r>
    </w:p>
    <w:p w:rsidR="00E54244" w:rsidRPr="00E54244" w:rsidRDefault="00E54244" w:rsidP="00E54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4244">
        <w:rPr>
          <w:rFonts w:ascii="Times New Roman" w:hAnsi="Times New Roman" w:cs="Times New Roman"/>
          <w:sz w:val="24"/>
          <w:szCs w:val="24"/>
        </w:rPr>
        <w:t xml:space="preserve">В 2019 году процент </w:t>
      </w:r>
      <w:proofErr w:type="spellStart"/>
      <w:r w:rsidRPr="00E54244"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 w:rsidRPr="00E54244">
        <w:rPr>
          <w:rFonts w:ascii="Times New Roman" w:hAnsi="Times New Roman" w:cs="Times New Roman"/>
          <w:sz w:val="24"/>
          <w:szCs w:val="24"/>
        </w:rPr>
        <w:t xml:space="preserve"> составил 78%</w:t>
      </w:r>
      <w:r>
        <w:rPr>
          <w:rFonts w:ascii="Times New Roman" w:hAnsi="Times New Roman" w:cs="Times New Roman"/>
          <w:sz w:val="24"/>
          <w:szCs w:val="24"/>
        </w:rPr>
        <w:t>, что практически одинаково в сравнении с 2018 годом.</w:t>
      </w:r>
    </w:p>
    <w:p w:rsidR="0041421A" w:rsidRDefault="009D36F4" w:rsidP="00E5424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2018 году процент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41421A">
        <w:rPr>
          <w:rFonts w:ascii="Times New Roman" w:hAnsi="Times New Roman" w:cs="Times New Roman"/>
          <w:sz w:val="24"/>
          <w:szCs w:val="24"/>
        </w:rPr>
        <w:t xml:space="preserve">80%, что на 17% меньше, чем в 2017 году. </w:t>
      </w:r>
      <w:r w:rsidR="00DD543E">
        <w:rPr>
          <w:rFonts w:ascii="Times New Roman" w:hAnsi="Times New Roman" w:cs="Times New Roman"/>
          <w:sz w:val="24"/>
          <w:szCs w:val="24"/>
        </w:rPr>
        <w:t xml:space="preserve">В 2017 году процент </w:t>
      </w:r>
      <w:proofErr w:type="spellStart"/>
      <w:r w:rsidR="00DD543E"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 w:rsidR="00DD543E">
        <w:rPr>
          <w:rFonts w:ascii="Times New Roman" w:hAnsi="Times New Roman" w:cs="Times New Roman"/>
          <w:sz w:val="24"/>
          <w:szCs w:val="24"/>
        </w:rPr>
        <w:t xml:space="preserve"> составил 97%, что на 9% больше, чем в 2016 году,  и на 7%  чем в 2015 году. </w:t>
      </w:r>
      <w:r w:rsidR="00055EE1">
        <w:rPr>
          <w:rFonts w:ascii="Times New Roman" w:hAnsi="Times New Roman" w:cs="Times New Roman"/>
          <w:sz w:val="24"/>
          <w:szCs w:val="24"/>
        </w:rPr>
        <w:t xml:space="preserve">В 2016 году процент </w:t>
      </w:r>
      <w:proofErr w:type="spellStart"/>
      <w:r w:rsidR="00055EE1"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 w:rsidR="00055EE1">
        <w:rPr>
          <w:rFonts w:ascii="Times New Roman" w:hAnsi="Times New Roman" w:cs="Times New Roman"/>
          <w:sz w:val="24"/>
          <w:szCs w:val="24"/>
        </w:rPr>
        <w:t xml:space="preserve"> штрафов составил </w:t>
      </w:r>
      <w:r w:rsidR="00237737">
        <w:rPr>
          <w:rFonts w:ascii="Times New Roman" w:hAnsi="Times New Roman" w:cs="Times New Roman"/>
          <w:sz w:val="24"/>
          <w:szCs w:val="24"/>
        </w:rPr>
        <w:t xml:space="preserve">88%. </w:t>
      </w:r>
      <w:r w:rsidR="00792B9F">
        <w:rPr>
          <w:rFonts w:ascii="Times New Roman" w:hAnsi="Times New Roman" w:cs="Times New Roman"/>
          <w:sz w:val="24"/>
          <w:szCs w:val="24"/>
        </w:rPr>
        <w:t xml:space="preserve">В 2015 году процент </w:t>
      </w:r>
      <w:proofErr w:type="spellStart"/>
      <w:r w:rsidR="00792B9F"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 w:rsidR="00055EE1">
        <w:rPr>
          <w:rFonts w:ascii="Times New Roman" w:hAnsi="Times New Roman" w:cs="Times New Roman"/>
          <w:sz w:val="24"/>
          <w:szCs w:val="24"/>
        </w:rPr>
        <w:t xml:space="preserve"> штрафов</w:t>
      </w:r>
      <w:r w:rsidR="00792B9F">
        <w:rPr>
          <w:rFonts w:ascii="Times New Roman" w:hAnsi="Times New Roman" w:cs="Times New Roman"/>
          <w:sz w:val="24"/>
          <w:szCs w:val="24"/>
        </w:rPr>
        <w:t xml:space="preserve"> составил 90% от наложенных штрафов</w:t>
      </w:r>
      <w:r w:rsidR="009257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20E0" w:rsidRPr="00ED3261" w:rsidRDefault="00DD543E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о объективным причинам процент </w:t>
      </w:r>
      <w:proofErr w:type="spellStart"/>
      <w:r w:rsidR="007E20E0" w:rsidRPr="00ED3261">
        <w:rPr>
          <w:rFonts w:ascii="Times New Roman" w:hAnsi="Times New Roman" w:cs="Times New Roman"/>
          <w:sz w:val="24"/>
          <w:szCs w:val="24"/>
        </w:rPr>
        <w:t>взыскиваемости</w:t>
      </w:r>
      <w:proofErr w:type="spellEnd"/>
      <w:r w:rsidR="007E20E0" w:rsidRPr="00ED3261">
        <w:rPr>
          <w:rFonts w:ascii="Times New Roman" w:hAnsi="Times New Roman" w:cs="Times New Roman"/>
          <w:sz w:val="24"/>
          <w:szCs w:val="24"/>
        </w:rPr>
        <w:t xml:space="preserve"> штрафов не составляет 100%, </w:t>
      </w:r>
      <w:r w:rsidR="00ED4002">
        <w:rPr>
          <w:rFonts w:ascii="Times New Roman" w:hAnsi="Times New Roman" w:cs="Times New Roman"/>
          <w:sz w:val="24"/>
          <w:szCs w:val="24"/>
        </w:rPr>
        <w:t>вследствие отмены 2-х</w:t>
      </w:r>
      <w:r w:rsidR="0041421A">
        <w:rPr>
          <w:rFonts w:ascii="Times New Roman" w:hAnsi="Times New Roman" w:cs="Times New Roman"/>
          <w:sz w:val="24"/>
          <w:szCs w:val="24"/>
        </w:rPr>
        <w:t xml:space="preserve"> постановлений по делу об административно</w:t>
      </w:r>
      <w:r w:rsidR="00ED4002">
        <w:rPr>
          <w:rFonts w:ascii="Times New Roman" w:hAnsi="Times New Roman" w:cs="Times New Roman"/>
          <w:sz w:val="24"/>
          <w:szCs w:val="24"/>
        </w:rPr>
        <w:t>м правонарушении на сумму 310 000</w:t>
      </w:r>
      <w:r w:rsidR="0041421A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ED4002">
        <w:rPr>
          <w:rFonts w:ascii="Times New Roman" w:hAnsi="Times New Roman" w:cs="Times New Roman"/>
          <w:sz w:val="24"/>
          <w:szCs w:val="24"/>
        </w:rPr>
        <w:t>, изменения одного постановления в части изменения (уменьшения суммы штрафа на 50000 рублей)</w:t>
      </w:r>
      <w:r w:rsidR="0041421A">
        <w:rPr>
          <w:rFonts w:ascii="Times New Roman" w:hAnsi="Times New Roman" w:cs="Times New Roman"/>
          <w:sz w:val="24"/>
          <w:szCs w:val="24"/>
        </w:rPr>
        <w:t xml:space="preserve"> а так же 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в связи с тем, что в </w:t>
      </w:r>
      <w:r w:rsidR="00ED4002">
        <w:rPr>
          <w:rFonts w:ascii="Times New Roman" w:hAnsi="Times New Roman" w:cs="Times New Roman"/>
          <w:sz w:val="24"/>
          <w:szCs w:val="24"/>
        </w:rPr>
        <w:t>ноябре-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декабре месяце были проведены </w:t>
      </w:r>
      <w:r w:rsidR="00792B9F">
        <w:rPr>
          <w:rFonts w:ascii="Times New Roman" w:hAnsi="Times New Roman" w:cs="Times New Roman"/>
          <w:sz w:val="24"/>
          <w:szCs w:val="24"/>
        </w:rPr>
        <w:t xml:space="preserve">плановые проверки, </w:t>
      </w:r>
      <w:r w:rsidR="007E20E0" w:rsidRPr="00ED3261">
        <w:rPr>
          <w:rFonts w:ascii="Times New Roman" w:hAnsi="Times New Roman" w:cs="Times New Roman"/>
          <w:sz w:val="24"/>
          <w:szCs w:val="24"/>
        </w:rPr>
        <w:t>проверки (рейды по заданию ФС) по подготовке к Новому году</w:t>
      </w:r>
      <w:proofErr w:type="gramEnd"/>
      <w:r w:rsidR="007E20E0" w:rsidRPr="00ED3261">
        <w:rPr>
          <w:rFonts w:ascii="Times New Roman" w:hAnsi="Times New Roman" w:cs="Times New Roman"/>
          <w:sz w:val="24"/>
          <w:szCs w:val="24"/>
        </w:rPr>
        <w:t xml:space="preserve"> и по заданию прокуратуры.</w:t>
      </w:r>
      <w:r w:rsidR="00925731">
        <w:rPr>
          <w:rFonts w:ascii="Times New Roman" w:hAnsi="Times New Roman" w:cs="Times New Roman"/>
          <w:sz w:val="24"/>
          <w:szCs w:val="24"/>
        </w:rPr>
        <w:t xml:space="preserve"> В декабре месяце были вынесены постановления по делу об административном правонарушении по материалам, поступившим из ОМВД. Добровольный срок уплаты составляет 60 дней. Таким образом,  по наложенным в декабре штрафам срок уплаты штрафов не истек.</w:t>
      </w:r>
      <w:r w:rsidR="007314EB">
        <w:rPr>
          <w:rFonts w:ascii="Times New Roman" w:hAnsi="Times New Roman" w:cs="Times New Roman"/>
          <w:sz w:val="24"/>
          <w:szCs w:val="24"/>
        </w:rPr>
        <w:t xml:space="preserve"> </w:t>
      </w:r>
      <w:r w:rsidR="007E20E0" w:rsidRPr="00ED3261">
        <w:rPr>
          <w:rFonts w:ascii="Times New Roman" w:hAnsi="Times New Roman" w:cs="Times New Roman"/>
          <w:sz w:val="24"/>
          <w:szCs w:val="24"/>
        </w:rPr>
        <w:t>Сроки по уплате штрафов, наложенных до</w:t>
      </w:r>
      <w:r w:rsidR="00ED4002">
        <w:rPr>
          <w:rFonts w:ascii="Times New Roman" w:hAnsi="Times New Roman" w:cs="Times New Roman"/>
          <w:sz w:val="24"/>
          <w:szCs w:val="24"/>
        </w:rPr>
        <w:t>лжностными лицами в декабре 2019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 года согласно требованиям закона, на момент составления годовых отчетов, еще не наступили. Однако сумма наложенны</w:t>
      </w:r>
      <w:r w:rsidR="003C4E34" w:rsidRPr="00ED3261">
        <w:rPr>
          <w:rFonts w:ascii="Times New Roman" w:hAnsi="Times New Roman" w:cs="Times New Roman"/>
          <w:sz w:val="24"/>
          <w:szCs w:val="24"/>
        </w:rPr>
        <w:t>х этих штрафов по о</w:t>
      </w:r>
      <w:r w:rsidR="00ED4002">
        <w:rPr>
          <w:rFonts w:ascii="Times New Roman" w:hAnsi="Times New Roman" w:cs="Times New Roman"/>
          <w:sz w:val="24"/>
          <w:szCs w:val="24"/>
        </w:rPr>
        <w:t>тчету за 2019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 год уже прошла, поэтому взысканные суммы от этих штра</w:t>
      </w:r>
      <w:r w:rsidR="00ED4002">
        <w:rPr>
          <w:rFonts w:ascii="Times New Roman" w:hAnsi="Times New Roman" w:cs="Times New Roman"/>
          <w:sz w:val="24"/>
          <w:szCs w:val="24"/>
        </w:rPr>
        <w:t>фов будут уже учитываться в 2020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127D0D" w:rsidRDefault="003C4E34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 w:rsidRPr="00ED3261">
        <w:rPr>
          <w:rFonts w:ascii="Times New Roman" w:hAnsi="Times New Roman" w:cs="Times New Roman"/>
          <w:sz w:val="24"/>
          <w:szCs w:val="24"/>
        </w:rPr>
        <w:t>Количество используемых статей КоАП РФ при проведении контрольно-надзорных мероприятий</w:t>
      </w:r>
      <w:r w:rsidR="00A1313A" w:rsidRPr="00ED3261">
        <w:rPr>
          <w:rFonts w:ascii="Times New Roman" w:hAnsi="Times New Roman" w:cs="Times New Roman"/>
          <w:sz w:val="24"/>
          <w:szCs w:val="24"/>
        </w:rPr>
        <w:t xml:space="preserve">, а также при проведении административных расследований </w:t>
      </w:r>
      <w:r w:rsidRPr="00ED3261">
        <w:rPr>
          <w:rFonts w:ascii="Times New Roman" w:hAnsi="Times New Roman" w:cs="Times New Roman"/>
          <w:sz w:val="24"/>
          <w:szCs w:val="24"/>
        </w:rPr>
        <w:t xml:space="preserve"> в</w:t>
      </w:r>
      <w:r w:rsidR="00ED4002">
        <w:rPr>
          <w:rFonts w:ascii="Times New Roman" w:hAnsi="Times New Roman" w:cs="Times New Roman"/>
          <w:sz w:val="24"/>
          <w:szCs w:val="24"/>
        </w:rPr>
        <w:t xml:space="preserve"> 2019 году уменьшилось на 2 состава, и составляет 30 составов,</w:t>
      </w:r>
      <w:r w:rsidR="00925731">
        <w:rPr>
          <w:rFonts w:ascii="Times New Roman" w:hAnsi="Times New Roman" w:cs="Times New Roman"/>
          <w:sz w:val="24"/>
          <w:szCs w:val="24"/>
        </w:rPr>
        <w:t xml:space="preserve"> </w:t>
      </w:r>
      <w:r w:rsidR="00DD543E">
        <w:rPr>
          <w:rFonts w:ascii="Times New Roman" w:hAnsi="Times New Roman" w:cs="Times New Roman"/>
          <w:sz w:val="24"/>
          <w:szCs w:val="24"/>
        </w:rPr>
        <w:t xml:space="preserve"> </w:t>
      </w:r>
      <w:r w:rsidR="00127D0D">
        <w:rPr>
          <w:rFonts w:ascii="Times New Roman" w:hAnsi="Times New Roman" w:cs="Times New Roman"/>
          <w:sz w:val="24"/>
          <w:szCs w:val="24"/>
        </w:rPr>
        <w:t xml:space="preserve">2018 году уменьшилось и составляет </w:t>
      </w:r>
      <w:r w:rsidR="008812EB">
        <w:rPr>
          <w:rFonts w:ascii="Times New Roman" w:hAnsi="Times New Roman" w:cs="Times New Roman"/>
          <w:sz w:val="24"/>
          <w:szCs w:val="24"/>
        </w:rPr>
        <w:t>32 состава, что на 25% меньше, чем в 2017 году.</w:t>
      </w:r>
    </w:p>
    <w:p w:rsidR="006A4DB0" w:rsidRDefault="008812EB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2017году количество применимых статей КоАП составляло</w:t>
      </w:r>
      <w:r w:rsidR="00DD543E">
        <w:rPr>
          <w:rFonts w:ascii="Times New Roman" w:hAnsi="Times New Roman" w:cs="Times New Roman"/>
          <w:sz w:val="24"/>
          <w:szCs w:val="24"/>
        </w:rPr>
        <w:t xml:space="preserve"> </w:t>
      </w:r>
      <w:r w:rsidR="0094376D">
        <w:rPr>
          <w:rFonts w:ascii="Times New Roman" w:hAnsi="Times New Roman" w:cs="Times New Roman"/>
          <w:sz w:val="24"/>
          <w:szCs w:val="24"/>
        </w:rPr>
        <w:t xml:space="preserve">43 состава. В </w:t>
      </w:r>
      <w:r w:rsidR="00925731">
        <w:rPr>
          <w:rFonts w:ascii="Times New Roman" w:hAnsi="Times New Roman" w:cs="Times New Roman"/>
          <w:sz w:val="24"/>
          <w:szCs w:val="24"/>
        </w:rPr>
        <w:t>2016-</w:t>
      </w:r>
      <w:r w:rsidR="003C4E34" w:rsidRPr="00ED3261">
        <w:rPr>
          <w:rFonts w:ascii="Times New Roman" w:hAnsi="Times New Roman" w:cs="Times New Roman"/>
          <w:sz w:val="24"/>
          <w:szCs w:val="24"/>
        </w:rPr>
        <w:t xml:space="preserve"> 2015 </w:t>
      </w:r>
      <w:r w:rsidR="00925731">
        <w:rPr>
          <w:rFonts w:ascii="Times New Roman" w:hAnsi="Times New Roman" w:cs="Times New Roman"/>
          <w:sz w:val="24"/>
          <w:szCs w:val="24"/>
        </w:rPr>
        <w:t xml:space="preserve">г. </w:t>
      </w:r>
      <w:r w:rsidR="0094376D">
        <w:rPr>
          <w:rFonts w:ascii="Times New Roman" w:hAnsi="Times New Roman" w:cs="Times New Roman"/>
          <w:sz w:val="24"/>
          <w:szCs w:val="24"/>
        </w:rPr>
        <w:t xml:space="preserve"> количество составов </w:t>
      </w:r>
      <w:r w:rsidR="00925731">
        <w:rPr>
          <w:rFonts w:ascii="Times New Roman" w:hAnsi="Times New Roman" w:cs="Times New Roman"/>
          <w:sz w:val="24"/>
          <w:szCs w:val="24"/>
        </w:rPr>
        <w:t>одинаково, вместе с тем</w:t>
      </w:r>
      <w:r w:rsidR="003C4E34" w:rsidRPr="00ED3261">
        <w:rPr>
          <w:rFonts w:ascii="Times New Roman" w:hAnsi="Times New Roman" w:cs="Times New Roman"/>
          <w:sz w:val="24"/>
          <w:szCs w:val="24"/>
        </w:rPr>
        <w:t xml:space="preserve">  увеличилось</w:t>
      </w:r>
      <w:r w:rsidR="00A1313A" w:rsidRPr="00ED3261">
        <w:rPr>
          <w:rFonts w:ascii="Times New Roman" w:hAnsi="Times New Roman" w:cs="Times New Roman"/>
          <w:sz w:val="24"/>
          <w:szCs w:val="24"/>
        </w:rPr>
        <w:t xml:space="preserve"> в сравнении с 2014 годом</w:t>
      </w:r>
      <w:r w:rsidR="003C4E34" w:rsidRPr="00ED3261">
        <w:rPr>
          <w:rFonts w:ascii="Times New Roman" w:hAnsi="Times New Roman" w:cs="Times New Roman"/>
          <w:sz w:val="24"/>
          <w:szCs w:val="24"/>
        </w:rPr>
        <w:t xml:space="preserve"> на </w:t>
      </w:r>
      <w:r w:rsidR="00A1313A" w:rsidRPr="00ED3261">
        <w:rPr>
          <w:rFonts w:ascii="Times New Roman" w:hAnsi="Times New Roman" w:cs="Times New Roman"/>
          <w:sz w:val="24"/>
          <w:szCs w:val="24"/>
        </w:rPr>
        <w:t xml:space="preserve">13% </w:t>
      </w:r>
      <w:proofErr w:type="gramStart"/>
      <w:r w:rsidR="001121F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1121F1">
        <w:rPr>
          <w:rFonts w:ascii="Times New Roman" w:hAnsi="Times New Roman" w:cs="Times New Roman"/>
          <w:sz w:val="24"/>
          <w:szCs w:val="24"/>
        </w:rPr>
        <w:t xml:space="preserve">в 2014 году – 40 составов) </w:t>
      </w:r>
      <w:r w:rsidR="00A1313A" w:rsidRPr="00ED3261">
        <w:rPr>
          <w:rFonts w:ascii="Times New Roman" w:hAnsi="Times New Roman" w:cs="Times New Roman"/>
          <w:sz w:val="24"/>
          <w:szCs w:val="24"/>
        </w:rPr>
        <w:t xml:space="preserve">и составило 46 </w:t>
      </w:r>
      <w:r w:rsidR="003C4E34" w:rsidRPr="00ED3261">
        <w:rPr>
          <w:rFonts w:ascii="Times New Roman" w:hAnsi="Times New Roman" w:cs="Times New Roman"/>
          <w:sz w:val="24"/>
          <w:szCs w:val="24"/>
        </w:rPr>
        <w:t xml:space="preserve"> составов Кодекса Российской Федерации об административных правонарушениях. 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 </w:t>
      </w:r>
      <w:r w:rsidR="006A4DB0">
        <w:rPr>
          <w:rFonts w:ascii="Times New Roman" w:hAnsi="Times New Roman" w:cs="Times New Roman"/>
          <w:sz w:val="24"/>
          <w:szCs w:val="24"/>
        </w:rPr>
        <w:t>(Таблица №4)</w:t>
      </w:r>
    </w:p>
    <w:p w:rsidR="007C6365" w:rsidRDefault="007C6365" w:rsidP="007C6365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Уменьшение количества применяемых составов в сравнении с 2017 годом </w:t>
      </w:r>
      <w:r w:rsidRPr="00DB2F48">
        <w:rPr>
          <w:rFonts w:ascii="Times New Roman" w:hAnsi="Times New Roman" w:cs="Times New Roman"/>
          <w:sz w:val="24"/>
          <w:szCs w:val="24"/>
        </w:rPr>
        <w:t xml:space="preserve">произошло 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изменений, внесенных в Федеральный закон от 26.12.2008г №294 «О защите прав юридических лиц и индивидуальных предпринимателей…», предусматривающий с 01.01.2017г исключительно претензионный порядок обращений граждан с жалобами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proofErr w:type="gramEnd"/>
      <w:r>
        <w:rPr>
          <w:rFonts w:ascii="Times New Roman" w:hAnsi="Times New Roman" w:cs="Times New Roman"/>
          <w:sz w:val="24"/>
          <w:szCs w:val="24"/>
        </w:rPr>
        <w:t>аблица №1). Тем самым, при поступлении обращений граждан, которыми не был соблюден порядок, установленный положениями ФЗ</w:t>
      </w:r>
      <w:r w:rsidRPr="00F30A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26.12.2008г №294 «О защите прав юридических лиц и индивидуальных предпринимателей…», были даны разъяснения о порядке рассмотрения заявлений и обращений в государственный орган. Законные снования для проведения надзорных мероприятий отсутствовали, соответственно, меры административного воздействия не применялись.</w:t>
      </w:r>
    </w:p>
    <w:p w:rsidR="007C6365" w:rsidRDefault="007C6365" w:rsidP="00ED32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4DB0" w:rsidRDefault="006A4DB0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№4</w:t>
      </w:r>
      <w:r w:rsidR="008812EB">
        <w:rPr>
          <w:rFonts w:ascii="Times New Roman" w:hAnsi="Times New Roman" w:cs="Times New Roman"/>
          <w:sz w:val="24"/>
          <w:szCs w:val="24"/>
        </w:rPr>
        <w:t xml:space="preserve">  Количество применяемых составов правонарушений</w:t>
      </w:r>
    </w:p>
    <w:p w:rsidR="00C84017" w:rsidRDefault="007C018D" w:rsidP="00ED32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484586" wp14:editId="21A003A4">
            <wp:extent cx="5343525" cy="26574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10E7E" w:rsidRDefault="00010E7E" w:rsidP="00ED326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4017" w:rsidRPr="008061AC" w:rsidRDefault="00010E7E" w:rsidP="008061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1674D">
        <w:rPr>
          <w:rFonts w:ascii="Times New Roman" w:hAnsi="Times New Roman" w:cs="Times New Roman"/>
          <w:color w:val="000000"/>
          <w:sz w:val="23"/>
          <w:szCs w:val="23"/>
        </w:rPr>
        <w:t>Кроме того, в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51674D">
        <w:rPr>
          <w:rFonts w:ascii="Times New Roman" w:hAnsi="Times New Roman" w:cs="Times New Roman"/>
          <w:color w:val="000000"/>
          <w:sz w:val="23"/>
          <w:szCs w:val="23"/>
        </w:rPr>
        <w:t>целях предупреждения совершения правонарушений, по результатам рассмотрения административных дел об админ</w:t>
      </w:r>
      <w:r>
        <w:rPr>
          <w:rFonts w:ascii="Times New Roman" w:hAnsi="Times New Roman" w:cs="Times New Roman"/>
          <w:color w:val="000000"/>
          <w:sz w:val="23"/>
          <w:szCs w:val="23"/>
        </w:rPr>
        <w:t>истративных правонарушениях 2019</w:t>
      </w:r>
      <w:r w:rsidRPr="0051674D">
        <w:rPr>
          <w:rFonts w:ascii="Times New Roman" w:hAnsi="Times New Roman" w:cs="Times New Roman"/>
          <w:color w:val="000000"/>
          <w:sz w:val="23"/>
          <w:szCs w:val="23"/>
        </w:rPr>
        <w:t xml:space="preserve"> году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отделом</w:t>
      </w:r>
      <w:r w:rsidRPr="0051674D">
        <w:rPr>
          <w:rFonts w:ascii="Times New Roman" w:hAnsi="Times New Roman" w:cs="Times New Roman"/>
          <w:color w:val="000000"/>
          <w:sz w:val="23"/>
          <w:szCs w:val="23"/>
        </w:rPr>
        <w:t xml:space="preserve">, в адрес субъектов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ответственности было внесено   </w:t>
      </w:r>
      <w:r w:rsidR="00FB1761">
        <w:rPr>
          <w:rFonts w:ascii="Times New Roman" w:hAnsi="Times New Roman" w:cs="Times New Roman"/>
          <w:color w:val="000000"/>
          <w:sz w:val="23"/>
          <w:szCs w:val="23"/>
        </w:rPr>
        <w:t xml:space="preserve">35 </w:t>
      </w:r>
      <w:r w:rsidRPr="0051674D">
        <w:rPr>
          <w:rFonts w:ascii="Times New Roman" w:hAnsi="Times New Roman" w:cs="Times New Roman"/>
          <w:color w:val="000000"/>
          <w:sz w:val="23"/>
          <w:szCs w:val="23"/>
        </w:rPr>
        <w:t>представлений об устранении причин и условий, способствовавших совершению правонаруш</w:t>
      </w:r>
      <w:r w:rsidR="00FB1761">
        <w:rPr>
          <w:rFonts w:ascii="Times New Roman" w:hAnsi="Times New Roman" w:cs="Times New Roman"/>
          <w:color w:val="000000"/>
          <w:sz w:val="23"/>
          <w:szCs w:val="23"/>
        </w:rPr>
        <w:t>ения, в аналогичном периоде 2018 года внесено 17 представлений</w:t>
      </w:r>
      <w:r w:rsidRPr="0051674D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ED4002" w:rsidRDefault="00ED4002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2019 году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етеюганску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исковых заявлений не подавалось.</w:t>
      </w:r>
    </w:p>
    <w:p w:rsidR="008812EB" w:rsidRDefault="008812EB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2018 году подано 3 исковых заявления,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1 исковое заявление в защиту гражданина-потребителя туристских услуг. Все иски удовлетворены.</w:t>
      </w:r>
    </w:p>
    <w:p w:rsidR="00E75614" w:rsidRDefault="00E75614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2017году ТО УРПН подано </w:t>
      </w:r>
      <w:r w:rsidR="0085519C">
        <w:rPr>
          <w:rFonts w:ascii="Times New Roman" w:hAnsi="Times New Roman" w:cs="Times New Roman"/>
          <w:sz w:val="24"/>
          <w:szCs w:val="24"/>
        </w:rPr>
        <w:t xml:space="preserve">3 исковых заявлений, в </w:t>
      </w:r>
      <w:proofErr w:type="spellStart"/>
      <w:r w:rsidR="0085519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85519C">
        <w:rPr>
          <w:rFonts w:ascii="Times New Roman" w:hAnsi="Times New Roman" w:cs="Times New Roman"/>
          <w:sz w:val="24"/>
          <w:szCs w:val="24"/>
        </w:rPr>
        <w:t xml:space="preserve">. 1 иск в защиту гражданина, чьи права нарушены, 2 исковых заявления о понуждении исполнения предписания </w:t>
      </w:r>
      <w:proofErr w:type="spellStart"/>
      <w:r w:rsidR="0085519C"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 w:rsidR="0085519C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85519C">
        <w:rPr>
          <w:rFonts w:ascii="Times New Roman" w:hAnsi="Times New Roman" w:cs="Times New Roman"/>
          <w:sz w:val="24"/>
          <w:szCs w:val="24"/>
        </w:rPr>
        <w:t>ргана</w:t>
      </w:r>
      <w:proofErr w:type="spellEnd"/>
      <w:r w:rsidR="008551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5519C" w:rsidRDefault="0085519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Иски удовлетворены.</w:t>
      </w:r>
    </w:p>
    <w:p w:rsidR="00ED4002" w:rsidRDefault="00ED4002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Помимо этого, в 2019 году дано 17 заключений в судах общей юрисдикции по делам о защите прав потребителей,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1 заключение в сфере розничной торговли, 1 заключение в сфере долевого строительства, 1 заключение в сфере бытовых услуг, 14 заключений по искам граждан о взыскании ущерба за коммунальные услуги не надлежащего качества.</w:t>
      </w:r>
      <w:proofErr w:type="gramEnd"/>
    </w:p>
    <w:p w:rsidR="007F4AF5" w:rsidRDefault="007F4AF5" w:rsidP="007F4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2018 году дано заключений в судах – 10.  Из них:</w:t>
      </w:r>
    </w:p>
    <w:p w:rsidR="007F4AF5" w:rsidRDefault="007F4AF5" w:rsidP="007F4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- 9 заключений в суде по делу о защите прав потребителей  о взыскании убытков, уплаченных за коммунальные услуги по горячему, холодному водоснабжению ненадлежащего качества. ( Истцы – потребители, ответчик</w:t>
      </w:r>
      <w:proofErr w:type="gramStart"/>
      <w:r>
        <w:rPr>
          <w:rFonts w:ascii="Times New Roman" w:hAnsi="Times New Roman" w:cs="Times New Roman"/>
          <w:sz w:val="24"/>
          <w:szCs w:val="24"/>
        </w:rPr>
        <w:t>и-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УК)</w:t>
      </w:r>
    </w:p>
    <w:p w:rsidR="007F4AF5" w:rsidRDefault="007F4AF5" w:rsidP="007F4A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62A6D">
        <w:rPr>
          <w:rFonts w:ascii="Times New Roman" w:hAnsi="Times New Roman" w:cs="Times New Roman"/>
          <w:sz w:val="24"/>
          <w:szCs w:val="24"/>
        </w:rPr>
        <w:t>- 1  Потребители Ященко к ООО «О Кей»</w:t>
      </w:r>
      <w:r>
        <w:rPr>
          <w:rFonts w:ascii="Times New Roman" w:hAnsi="Times New Roman" w:cs="Times New Roman"/>
          <w:sz w:val="24"/>
          <w:szCs w:val="24"/>
        </w:rPr>
        <w:t>. Судом присуждено в пользу потребителей – 569163,0 , из них морального вреда 372 000 рублей</w:t>
      </w:r>
    </w:p>
    <w:p w:rsidR="007E20E0" w:rsidRDefault="00ED4002" w:rsidP="007F4A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="008812EB">
        <w:rPr>
          <w:rFonts w:ascii="Times New Roman" w:hAnsi="Times New Roman" w:cs="Times New Roman"/>
          <w:sz w:val="24"/>
          <w:szCs w:val="24"/>
        </w:rPr>
        <w:t>-2018</w:t>
      </w:r>
      <w:r w:rsidR="007C01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018D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7C018D">
        <w:rPr>
          <w:rFonts w:ascii="Times New Roman" w:hAnsi="Times New Roman" w:cs="Times New Roman"/>
          <w:sz w:val="24"/>
          <w:szCs w:val="24"/>
        </w:rPr>
        <w:t>.</w:t>
      </w:r>
      <w:r w:rsidR="007E20E0" w:rsidRPr="00ED3261">
        <w:rPr>
          <w:rFonts w:ascii="Times New Roman" w:hAnsi="Times New Roman" w:cs="Times New Roman"/>
          <w:sz w:val="24"/>
          <w:szCs w:val="24"/>
        </w:rPr>
        <w:t xml:space="preserve"> постановления о направлении в правоохранительные органы материалов для возбуждения уголовных дел не направлялись.</w:t>
      </w:r>
    </w:p>
    <w:p w:rsidR="00010E7E" w:rsidRPr="00ED3261" w:rsidRDefault="00010E7E" w:rsidP="007F4A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0035C" w:rsidRPr="00ED3261" w:rsidRDefault="00D0035C" w:rsidP="0023451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0035C" w:rsidRPr="00ED3261" w:rsidSect="002925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NumType w:start="1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295" w:rsidRDefault="00136295" w:rsidP="00292516">
      <w:pPr>
        <w:spacing w:after="0" w:line="240" w:lineRule="auto"/>
      </w:pPr>
      <w:r>
        <w:separator/>
      </w:r>
    </w:p>
  </w:endnote>
  <w:endnote w:type="continuationSeparator" w:id="0">
    <w:p w:rsidR="00136295" w:rsidRDefault="00136295" w:rsidP="00292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16" w:rsidRDefault="0029251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859226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92516" w:rsidRDefault="0029251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168</w:t>
        </w:r>
        <w:r>
          <w:fldChar w:fldCharType="end"/>
        </w:r>
      </w:p>
    </w:sdtContent>
  </w:sdt>
  <w:p w:rsidR="00292516" w:rsidRDefault="0029251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16" w:rsidRDefault="0029251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295" w:rsidRDefault="00136295" w:rsidP="00292516">
      <w:pPr>
        <w:spacing w:after="0" w:line="240" w:lineRule="auto"/>
      </w:pPr>
      <w:r>
        <w:separator/>
      </w:r>
    </w:p>
  </w:footnote>
  <w:footnote w:type="continuationSeparator" w:id="0">
    <w:p w:rsidR="00136295" w:rsidRDefault="00136295" w:rsidP="00292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16" w:rsidRDefault="0029251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16" w:rsidRDefault="0029251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16" w:rsidRDefault="002925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2C"/>
    <w:rsid w:val="00010E7E"/>
    <w:rsid w:val="000226C4"/>
    <w:rsid w:val="000402E8"/>
    <w:rsid w:val="00055EE1"/>
    <w:rsid w:val="00074058"/>
    <w:rsid w:val="00094807"/>
    <w:rsid w:val="0009642A"/>
    <w:rsid w:val="000B0B11"/>
    <w:rsid w:val="000C2607"/>
    <w:rsid w:val="000F3AE0"/>
    <w:rsid w:val="001022AE"/>
    <w:rsid w:val="001121F1"/>
    <w:rsid w:val="00127D0D"/>
    <w:rsid w:val="00136295"/>
    <w:rsid w:val="001618FF"/>
    <w:rsid w:val="001658E1"/>
    <w:rsid w:val="00172DE8"/>
    <w:rsid w:val="001D5F21"/>
    <w:rsid w:val="001E3D82"/>
    <w:rsid w:val="001F124C"/>
    <w:rsid w:val="00234516"/>
    <w:rsid w:val="00237737"/>
    <w:rsid w:val="00277B58"/>
    <w:rsid w:val="00292516"/>
    <w:rsid w:val="002940FA"/>
    <w:rsid w:val="002B1AAE"/>
    <w:rsid w:val="002D7568"/>
    <w:rsid w:val="00355F2A"/>
    <w:rsid w:val="003B0D2C"/>
    <w:rsid w:val="003B6F01"/>
    <w:rsid w:val="003C4E34"/>
    <w:rsid w:val="003F08B1"/>
    <w:rsid w:val="0041421A"/>
    <w:rsid w:val="00467B2A"/>
    <w:rsid w:val="004712A7"/>
    <w:rsid w:val="00493CAF"/>
    <w:rsid w:val="004E34C9"/>
    <w:rsid w:val="004E3767"/>
    <w:rsid w:val="0051450F"/>
    <w:rsid w:val="00572769"/>
    <w:rsid w:val="00577FA8"/>
    <w:rsid w:val="00583D06"/>
    <w:rsid w:val="005D738D"/>
    <w:rsid w:val="005F486F"/>
    <w:rsid w:val="00600E9C"/>
    <w:rsid w:val="0060123A"/>
    <w:rsid w:val="00613FAD"/>
    <w:rsid w:val="0064278D"/>
    <w:rsid w:val="00647713"/>
    <w:rsid w:val="00666D14"/>
    <w:rsid w:val="006827CE"/>
    <w:rsid w:val="006A4DB0"/>
    <w:rsid w:val="006B065F"/>
    <w:rsid w:val="006B0B2C"/>
    <w:rsid w:val="006C00FF"/>
    <w:rsid w:val="006F0773"/>
    <w:rsid w:val="007122FF"/>
    <w:rsid w:val="007314EB"/>
    <w:rsid w:val="00792B9F"/>
    <w:rsid w:val="007C018D"/>
    <w:rsid w:val="007C6365"/>
    <w:rsid w:val="007E20E0"/>
    <w:rsid w:val="007F48E9"/>
    <w:rsid w:val="007F4AF5"/>
    <w:rsid w:val="008061AC"/>
    <w:rsid w:val="0082478E"/>
    <w:rsid w:val="008457B6"/>
    <w:rsid w:val="008508D3"/>
    <w:rsid w:val="0085519C"/>
    <w:rsid w:val="00855AC5"/>
    <w:rsid w:val="008603EC"/>
    <w:rsid w:val="00865856"/>
    <w:rsid w:val="008660AF"/>
    <w:rsid w:val="008812EB"/>
    <w:rsid w:val="00883960"/>
    <w:rsid w:val="008B522D"/>
    <w:rsid w:val="00922FD7"/>
    <w:rsid w:val="00925731"/>
    <w:rsid w:val="0094376D"/>
    <w:rsid w:val="0095719F"/>
    <w:rsid w:val="00965C4D"/>
    <w:rsid w:val="00970752"/>
    <w:rsid w:val="009A5808"/>
    <w:rsid w:val="009D36F4"/>
    <w:rsid w:val="00A02036"/>
    <w:rsid w:val="00A1313A"/>
    <w:rsid w:val="00A33D66"/>
    <w:rsid w:val="00A62460"/>
    <w:rsid w:val="00A92E28"/>
    <w:rsid w:val="00AA39E4"/>
    <w:rsid w:val="00AC1EF9"/>
    <w:rsid w:val="00AE6419"/>
    <w:rsid w:val="00B51AD6"/>
    <w:rsid w:val="00B94D21"/>
    <w:rsid w:val="00BA5AB2"/>
    <w:rsid w:val="00BE5A76"/>
    <w:rsid w:val="00BF4419"/>
    <w:rsid w:val="00C024C3"/>
    <w:rsid w:val="00C1609F"/>
    <w:rsid w:val="00C1681B"/>
    <w:rsid w:val="00C20A7A"/>
    <w:rsid w:val="00C25254"/>
    <w:rsid w:val="00C3223B"/>
    <w:rsid w:val="00C34AF2"/>
    <w:rsid w:val="00C6322D"/>
    <w:rsid w:val="00C67FA7"/>
    <w:rsid w:val="00C7226C"/>
    <w:rsid w:val="00C72BA2"/>
    <w:rsid w:val="00C84017"/>
    <w:rsid w:val="00C856A4"/>
    <w:rsid w:val="00CA37BE"/>
    <w:rsid w:val="00D0035C"/>
    <w:rsid w:val="00D060A0"/>
    <w:rsid w:val="00D21E85"/>
    <w:rsid w:val="00D32E96"/>
    <w:rsid w:val="00D44186"/>
    <w:rsid w:val="00D45E6E"/>
    <w:rsid w:val="00D71458"/>
    <w:rsid w:val="00D71639"/>
    <w:rsid w:val="00DB2F48"/>
    <w:rsid w:val="00DC195E"/>
    <w:rsid w:val="00DD4151"/>
    <w:rsid w:val="00DD543E"/>
    <w:rsid w:val="00E460E4"/>
    <w:rsid w:val="00E54244"/>
    <w:rsid w:val="00E75614"/>
    <w:rsid w:val="00ED3261"/>
    <w:rsid w:val="00ED4002"/>
    <w:rsid w:val="00F30A4A"/>
    <w:rsid w:val="00F7652E"/>
    <w:rsid w:val="00FA376A"/>
    <w:rsid w:val="00FA6F93"/>
    <w:rsid w:val="00FB1761"/>
    <w:rsid w:val="00F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0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24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92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2516"/>
  </w:style>
  <w:style w:type="paragraph" w:styleId="a8">
    <w:name w:val="footer"/>
    <w:basedOn w:val="a"/>
    <w:link w:val="a9"/>
    <w:uiPriority w:val="99"/>
    <w:unhideWhenUsed/>
    <w:rsid w:val="00292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25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2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E2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0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24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92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2516"/>
  </w:style>
  <w:style w:type="paragraph" w:styleId="a8">
    <w:name w:val="footer"/>
    <w:basedOn w:val="a"/>
    <w:link w:val="a9"/>
    <w:uiPriority w:val="99"/>
    <w:unhideWhenUsed/>
    <w:rsid w:val="00292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2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3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8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028776978417265"/>
          <c:y val="4.9450549450549448E-2"/>
          <c:w val="0.6079136690647482"/>
          <c:h val="0.8461538461538461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999FF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282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993366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208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FFFFCC"/>
            </a:solidFill>
            <a:ln w="1256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292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16558080"/>
        <c:axId val="116563968"/>
        <c:axId val="0"/>
      </c:bar3DChart>
      <c:catAx>
        <c:axId val="116558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2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65639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16563968"/>
        <c:scaling>
          <c:orientation val="minMax"/>
        </c:scaling>
        <c:delete val="0"/>
        <c:axPos val="l"/>
        <c:majorGridlines>
          <c:spPr>
            <a:ln w="3142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2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6558080"/>
        <c:crosses val="autoZero"/>
        <c:crossBetween val="between"/>
      </c:valAx>
      <c:spPr>
        <a:noFill/>
        <a:ln w="25133">
          <a:noFill/>
        </a:ln>
      </c:spPr>
    </c:plotArea>
    <c:legend>
      <c:legendPos val="r"/>
      <c:layout>
        <c:manualLayout>
          <c:xMode val="edge"/>
          <c:yMode val="edge"/>
          <c:x val="0.79856115107913672"/>
          <c:y val="0.34615384615384615"/>
          <c:w val="0.20143884892086331"/>
          <c:h val="0.31868131868131866"/>
        </c:manualLayout>
      </c:layout>
      <c:overlay val="0"/>
      <c:spPr>
        <a:noFill/>
        <a:ln w="3142">
          <a:solidFill>
            <a:srgbClr val="000000"/>
          </a:solidFill>
          <a:prstDash val="solid"/>
        </a:ln>
      </c:spPr>
      <c:txPr>
        <a:bodyPr/>
        <a:lstStyle/>
        <a:p>
          <a:pPr>
            <a:defRPr sz="727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334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213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Категория 1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328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6516352"/>
        <c:axId val="116517888"/>
        <c:axId val="0"/>
      </c:bar3DChart>
      <c:catAx>
        <c:axId val="116516352"/>
        <c:scaling>
          <c:orientation val="minMax"/>
        </c:scaling>
        <c:delete val="0"/>
        <c:axPos val="b"/>
        <c:majorTickMark val="out"/>
        <c:minorTickMark val="none"/>
        <c:tickLblPos val="nextTo"/>
        <c:crossAx val="116517888"/>
        <c:crosses val="autoZero"/>
        <c:auto val="1"/>
        <c:lblAlgn val="ctr"/>
        <c:lblOffset val="100"/>
        <c:noMultiLvlLbl val="0"/>
      </c:catAx>
      <c:valAx>
        <c:axId val="1165178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65163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5"/>
      <c:hPercent val="67"/>
      <c:rotY val="44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"/>
          <c:y val="0.05"/>
          <c:w val="0.578125"/>
          <c:h val="0.838888888888888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2017</c:v>
                </c:pt>
              </c:strCache>
            </c:strRef>
          </c:tx>
          <c:spPr>
            <a:solidFill>
              <a:srgbClr val="9999FF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3596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2018</c:v>
                </c:pt>
              </c:strCache>
            </c:strRef>
          </c:tx>
          <c:spPr>
            <a:solidFill>
              <a:srgbClr val="993366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3071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rgbClr val="FFFFCC"/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#,##0</c:formatCode>
                <c:ptCount val="1"/>
                <c:pt idx="0">
                  <c:v>2747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55246976"/>
        <c:axId val="155248512"/>
        <c:axId val="0"/>
      </c:bar3DChart>
      <c:catAx>
        <c:axId val="155246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52485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5248512"/>
        <c:scaling>
          <c:orientation val="minMax"/>
        </c:scaling>
        <c:delete val="0"/>
        <c:axPos val="l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55246976"/>
        <c:crosses val="autoZero"/>
        <c:crossBetween val="between"/>
      </c:valAx>
      <c:spPr>
        <a:noFill/>
        <a:ln w="25391">
          <a:noFill/>
        </a:ln>
      </c:spPr>
    </c:plotArea>
    <c:legend>
      <c:legendPos val="r"/>
      <c:layout>
        <c:manualLayout>
          <c:xMode val="edge"/>
          <c:yMode val="edge"/>
          <c:x val="0.8125"/>
          <c:y val="0.33888888888888891"/>
          <c:w val="0.17499999999999999"/>
          <c:h val="0.32222222222222224"/>
        </c:manualLayout>
      </c:layout>
      <c:overlay val="0"/>
      <c:spPr>
        <a:noFill/>
        <a:ln w="3174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Составы правонарушений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</c:numCache>
            </c:numRef>
          </c:cat>
          <c:val>
            <c:numRef>
              <c:f>Лист1!$B$2:$B$5</c:f>
              <c:numCache>
                <c:formatCode>General</c:formatCode>
                <c:ptCount val="4"/>
                <c:pt idx="1">
                  <c:v>43</c:v>
                </c:pt>
                <c:pt idx="2">
                  <c:v>32</c:v>
                </c:pt>
                <c:pt idx="3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6</Pages>
  <Words>1993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Зиля</cp:lastModifiedBy>
  <cp:revision>132</cp:revision>
  <dcterms:created xsi:type="dcterms:W3CDTF">2016-02-01T07:56:00Z</dcterms:created>
  <dcterms:modified xsi:type="dcterms:W3CDTF">2020-02-11T09:49:00Z</dcterms:modified>
</cp:coreProperties>
</file>