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10" w:rsidRPr="00B70F43" w:rsidRDefault="00BE1110" w:rsidP="00C75E3F">
      <w:pPr>
        <w:tabs>
          <w:tab w:val="left" w:pos="1701"/>
          <w:tab w:val="left" w:pos="3402"/>
        </w:tabs>
        <w:jc w:val="center"/>
        <w:rPr>
          <w:rFonts w:eastAsiaTheme="minorEastAsia"/>
          <w:b/>
          <w:sz w:val="26"/>
          <w:szCs w:val="26"/>
        </w:rPr>
      </w:pPr>
      <w:r w:rsidRPr="00B70F43">
        <w:rPr>
          <w:rFonts w:eastAsiaTheme="minorEastAsia"/>
          <w:b/>
          <w:bCs/>
          <w:sz w:val="26"/>
          <w:szCs w:val="26"/>
        </w:rPr>
        <w:t xml:space="preserve">Глава  </w:t>
      </w:r>
      <w:r w:rsidRPr="00B70F43">
        <w:rPr>
          <w:rFonts w:eastAsiaTheme="minorEastAsia"/>
          <w:b/>
          <w:sz w:val="26"/>
          <w:szCs w:val="26"/>
        </w:rPr>
        <w:t>1.</w:t>
      </w:r>
      <w:r w:rsidR="000A635E" w:rsidRPr="00B70F43">
        <w:rPr>
          <w:rFonts w:eastAsiaTheme="minorEastAsia"/>
          <w:b/>
          <w:sz w:val="26"/>
          <w:szCs w:val="26"/>
        </w:rPr>
        <w:t>2</w:t>
      </w:r>
      <w:r w:rsidR="00663F99" w:rsidRPr="00B70F43">
        <w:rPr>
          <w:rFonts w:eastAsiaTheme="minorEastAsia"/>
          <w:b/>
          <w:sz w:val="26"/>
          <w:szCs w:val="26"/>
        </w:rPr>
        <w:t>.</w:t>
      </w:r>
      <w:r w:rsidR="000A635E" w:rsidRPr="00B70F43">
        <w:rPr>
          <w:rFonts w:eastAsiaTheme="minorEastAsia"/>
          <w:b/>
          <w:sz w:val="26"/>
          <w:szCs w:val="26"/>
        </w:rPr>
        <w:t>1</w:t>
      </w:r>
      <w:r w:rsidRPr="00B70F43">
        <w:rPr>
          <w:rFonts w:eastAsiaTheme="minorEastAsia"/>
          <w:b/>
          <w:sz w:val="26"/>
          <w:szCs w:val="26"/>
        </w:rPr>
        <w:t>. Анализ состояния заболеваемости  массовыми неинфекционными заболеваниями (отравлениями) и приоритетными заболеваниями в связи с вредным воздействием факторов среды обитания населения</w:t>
      </w:r>
      <w:r w:rsidR="00B70F43">
        <w:rPr>
          <w:rFonts w:eastAsiaTheme="minorEastAsia"/>
          <w:b/>
          <w:sz w:val="26"/>
          <w:szCs w:val="26"/>
        </w:rPr>
        <w:t xml:space="preserve"> </w:t>
      </w:r>
      <w:r w:rsidRPr="00B70F43">
        <w:rPr>
          <w:rFonts w:eastAsiaTheme="minorEastAsia"/>
          <w:b/>
          <w:sz w:val="26"/>
          <w:szCs w:val="26"/>
        </w:rPr>
        <w:t>г. Нефтеюганска</w:t>
      </w:r>
    </w:p>
    <w:p w:rsidR="00BE1110" w:rsidRPr="000A635E" w:rsidRDefault="00BE1110" w:rsidP="00C036E9">
      <w:pPr>
        <w:tabs>
          <w:tab w:val="left" w:pos="1701"/>
        </w:tabs>
        <w:jc w:val="center"/>
        <w:rPr>
          <w:rFonts w:eastAsiaTheme="minorEastAsia"/>
          <w:b/>
          <w:sz w:val="24"/>
          <w:szCs w:val="24"/>
        </w:rPr>
      </w:pPr>
    </w:p>
    <w:p w:rsidR="00BE1110" w:rsidRPr="000A635E" w:rsidRDefault="00BE1110" w:rsidP="00C036E9">
      <w:pPr>
        <w:spacing w:after="200"/>
        <w:jc w:val="center"/>
        <w:rPr>
          <w:rFonts w:eastAsiaTheme="minorEastAsia"/>
          <w:b/>
          <w:sz w:val="24"/>
          <w:szCs w:val="24"/>
        </w:rPr>
      </w:pPr>
      <w:r w:rsidRPr="000A635E">
        <w:rPr>
          <w:rFonts w:eastAsiaTheme="minorEastAsia"/>
          <w:b/>
          <w:bCs/>
          <w:sz w:val="24"/>
          <w:szCs w:val="24"/>
        </w:rPr>
        <w:t>Структура общей заболеваемости и ранговое место отдельных классов болезней</w:t>
      </w:r>
    </w:p>
    <w:p w:rsidR="00BE1110" w:rsidRPr="000A635E" w:rsidRDefault="00BE1110" w:rsidP="00C75E3F">
      <w:pPr>
        <w:ind w:firstLine="709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г. Нефтеюганске в структуре общей заболеваемости в </w:t>
      </w:r>
      <w:r w:rsidR="00B02924">
        <w:rPr>
          <w:rFonts w:eastAsiaTheme="minorEastAsia"/>
          <w:sz w:val="24"/>
          <w:szCs w:val="24"/>
        </w:rPr>
        <w:t>2019</w:t>
      </w:r>
      <w:r w:rsidRPr="000A635E">
        <w:rPr>
          <w:rFonts w:eastAsiaTheme="minorEastAsia"/>
          <w:sz w:val="24"/>
          <w:szCs w:val="24"/>
        </w:rPr>
        <w:t xml:space="preserve"> году ведущее место занимаю</w:t>
      </w:r>
      <w:r w:rsidR="00754DDD">
        <w:rPr>
          <w:rFonts w:eastAsiaTheme="minorEastAsia"/>
          <w:sz w:val="24"/>
          <w:szCs w:val="24"/>
        </w:rPr>
        <w:t>т болезни органов дыхания – 31,1</w:t>
      </w:r>
      <w:r w:rsidRPr="000A635E">
        <w:rPr>
          <w:rFonts w:eastAsiaTheme="minorEastAsia"/>
          <w:sz w:val="24"/>
          <w:szCs w:val="24"/>
        </w:rPr>
        <w:t xml:space="preserve"> % (в прошлом году </w:t>
      </w:r>
      <w:r w:rsidR="00754DDD">
        <w:rPr>
          <w:rFonts w:eastAsiaTheme="minorEastAsia"/>
          <w:sz w:val="24"/>
          <w:szCs w:val="24"/>
        </w:rPr>
        <w:t>26,5</w:t>
      </w:r>
      <w:r w:rsidRPr="000A635E">
        <w:rPr>
          <w:rFonts w:eastAsiaTheme="minorEastAsia"/>
          <w:sz w:val="24"/>
          <w:szCs w:val="24"/>
        </w:rPr>
        <w:t>%), болезни костно-мышечной сис</w:t>
      </w:r>
      <w:r w:rsidR="00754DDD">
        <w:rPr>
          <w:rFonts w:eastAsiaTheme="minorEastAsia"/>
          <w:sz w:val="24"/>
          <w:szCs w:val="24"/>
        </w:rPr>
        <w:t>темы 11,5 % (в прошлом году 11,9</w:t>
      </w:r>
      <w:r w:rsidRPr="000A635E">
        <w:rPr>
          <w:rFonts w:eastAsiaTheme="minorEastAsia"/>
          <w:sz w:val="24"/>
          <w:szCs w:val="24"/>
        </w:rPr>
        <w:t xml:space="preserve"> %), болезни </w:t>
      </w:r>
      <w:r w:rsidR="00754DDD">
        <w:rPr>
          <w:rFonts w:eastAsiaTheme="minorEastAsia"/>
          <w:sz w:val="24"/>
          <w:szCs w:val="24"/>
        </w:rPr>
        <w:t>системы кровообращения – 8,8 % (в прошлом году 4,9</w:t>
      </w:r>
      <w:r w:rsidRPr="000A635E">
        <w:rPr>
          <w:rFonts w:eastAsiaTheme="minorEastAsia"/>
          <w:sz w:val="24"/>
          <w:szCs w:val="24"/>
        </w:rPr>
        <w:t>%)</w:t>
      </w:r>
    </w:p>
    <w:p w:rsidR="00BE1110" w:rsidRPr="000A635E" w:rsidRDefault="00533FEC" w:rsidP="00C036E9">
      <w:pPr>
        <w:spacing w:after="200"/>
        <w:jc w:val="right"/>
        <w:outlineLvl w:val="0"/>
        <w:rPr>
          <w:rFonts w:eastAsiaTheme="minorEastAsia"/>
          <w:sz w:val="21"/>
          <w:szCs w:val="21"/>
        </w:rPr>
      </w:pPr>
      <w:r w:rsidRPr="000A635E">
        <w:rPr>
          <w:rFonts w:eastAsiaTheme="minorEastAsia"/>
          <w:sz w:val="21"/>
          <w:szCs w:val="21"/>
        </w:rPr>
        <w:t xml:space="preserve">Таблица № </w:t>
      </w:r>
      <w:r w:rsidR="00792D79">
        <w:rPr>
          <w:rFonts w:eastAsiaTheme="minorEastAsia"/>
          <w:sz w:val="21"/>
          <w:szCs w:val="21"/>
        </w:rPr>
        <w:t>1</w:t>
      </w:r>
    </w:p>
    <w:p w:rsidR="00BE1110" w:rsidRPr="00C75E3F" w:rsidRDefault="00BE1110" w:rsidP="00C036E9">
      <w:pPr>
        <w:jc w:val="center"/>
        <w:rPr>
          <w:rFonts w:eastAsiaTheme="minorEastAsia"/>
          <w:b/>
          <w:bCs/>
          <w:iCs/>
          <w:sz w:val="22"/>
          <w:szCs w:val="22"/>
        </w:rPr>
      </w:pPr>
      <w:r w:rsidRPr="00C75E3F">
        <w:rPr>
          <w:rFonts w:eastAsiaTheme="minorEastAsia"/>
          <w:b/>
          <w:sz w:val="22"/>
          <w:szCs w:val="22"/>
        </w:rPr>
        <w:t xml:space="preserve">Общая заболеваемость населения в г. Нефтеюганске </w:t>
      </w:r>
      <w:r w:rsidRPr="00C75E3F">
        <w:rPr>
          <w:rFonts w:eastAsiaTheme="minorEastAsia"/>
          <w:b/>
          <w:bCs/>
          <w:iCs/>
          <w:sz w:val="22"/>
          <w:szCs w:val="22"/>
        </w:rPr>
        <w:t xml:space="preserve">(на 1000 населения) </w:t>
      </w:r>
    </w:p>
    <w:p w:rsidR="00BE1110" w:rsidRPr="00C75E3F" w:rsidRDefault="00BE1110" w:rsidP="00C036E9">
      <w:pPr>
        <w:jc w:val="center"/>
        <w:rPr>
          <w:rFonts w:eastAsiaTheme="minorEastAsia"/>
          <w:b/>
          <w:sz w:val="22"/>
          <w:szCs w:val="22"/>
        </w:rPr>
      </w:pPr>
      <w:r w:rsidRPr="00C75E3F">
        <w:rPr>
          <w:rFonts w:eastAsiaTheme="minorEastAsia"/>
          <w:b/>
          <w:sz w:val="22"/>
          <w:szCs w:val="22"/>
        </w:rPr>
        <w:t>за 201</w:t>
      </w:r>
      <w:r w:rsidR="00754DDD" w:rsidRPr="00C75E3F">
        <w:rPr>
          <w:rFonts w:eastAsiaTheme="minorEastAsia"/>
          <w:b/>
          <w:sz w:val="22"/>
          <w:szCs w:val="22"/>
        </w:rPr>
        <w:t>9</w:t>
      </w:r>
      <w:r w:rsidR="000A635E" w:rsidRPr="00C75E3F">
        <w:rPr>
          <w:rFonts w:eastAsiaTheme="minorEastAsia"/>
          <w:b/>
          <w:sz w:val="22"/>
          <w:szCs w:val="22"/>
        </w:rPr>
        <w:t xml:space="preserve"> </w:t>
      </w:r>
      <w:r w:rsidRPr="00C75E3F">
        <w:rPr>
          <w:rFonts w:eastAsiaTheme="minorEastAsia"/>
          <w:b/>
          <w:sz w:val="22"/>
          <w:szCs w:val="22"/>
        </w:rPr>
        <w:t>год</w:t>
      </w:r>
    </w:p>
    <w:p w:rsidR="00BE1110" w:rsidRPr="000A635E" w:rsidRDefault="00BE1110" w:rsidP="00C036E9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9000" w:type="dxa"/>
        <w:jc w:val="center"/>
        <w:tblLayout w:type="fixed"/>
        <w:tblLook w:val="0000" w:firstRow="0" w:lastRow="0" w:firstColumn="0" w:lastColumn="0" w:noHBand="0" w:noVBand="0"/>
      </w:tblPr>
      <w:tblGrid>
        <w:gridCol w:w="4140"/>
        <w:gridCol w:w="1231"/>
        <w:gridCol w:w="972"/>
        <w:gridCol w:w="1417"/>
        <w:gridCol w:w="1240"/>
      </w:tblGrid>
      <w:tr w:rsidR="00BE1110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E1110" w:rsidRPr="00C75E3F" w:rsidRDefault="00BE1110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Классы болезней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C75E3F" w:rsidRDefault="00BE1110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C75E3F" w:rsidRDefault="00BE1110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Дети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C75E3F" w:rsidRDefault="00BE1110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 xml:space="preserve">    Подростки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1110" w:rsidRPr="00C75E3F" w:rsidRDefault="00BE1110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 xml:space="preserve">   Взрослые</w:t>
            </w:r>
          </w:p>
        </w:tc>
      </w:tr>
      <w:tr w:rsidR="00754DDD" w:rsidRPr="000A635E" w:rsidTr="005F180E">
        <w:trPr>
          <w:trHeight w:val="493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1533,0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2568,5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1422,6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1286,5</w:t>
            </w:r>
          </w:p>
        </w:tc>
      </w:tr>
      <w:tr w:rsidR="00754DDD" w:rsidRPr="000A635E" w:rsidTr="005F180E">
        <w:trPr>
          <w:trHeight w:val="31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Инфекционные болезни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71,1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71,0</w:t>
            </w:r>
          </w:p>
        </w:tc>
      </w:tr>
      <w:tr w:rsidR="00754DDD" w:rsidRPr="000A635E" w:rsidTr="005F180E">
        <w:trPr>
          <w:trHeight w:val="45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Новообразования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37,1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45,9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крови и кроветворных органов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12,4</w:t>
            </w:r>
          </w:p>
        </w:tc>
      </w:tr>
      <w:tr w:rsidR="00754DDD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эндокринной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106,4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128,7</w:t>
            </w:r>
          </w:p>
        </w:tc>
      </w:tr>
      <w:tr w:rsidR="00754DDD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Психические расстройства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19,0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44,7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17,7</w:t>
            </w:r>
          </w:p>
        </w:tc>
      </w:tr>
      <w:tr w:rsidR="00754DDD" w:rsidRPr="000A635E" w:rsidTr="005F180E">
        <w:trPr>
          <w:trHeight w:val="43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нервной системы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50,6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76,6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36,8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глаза и его придаточного аппарата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80,1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71,3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уха и сосцевидного отростка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25,9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11,2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27,2</w:t>
            </w:r>
          </w:p>
        </w:tc>
      </w:tr>
      <w:tr w:rsidR="00754DDD" w:rsidRPr="000A635E" w:rsidTr="005F180E">
        <w:trPr>
          <w:trHeight w:val="33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системы кровообращения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135,0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18,9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169,8</w:t>
            </w:r>
          </w:p>
        </w:tc>
      </w:tr>
      <w:tr w:rsidR="00754DDD" w:rsidRPr="000A635E" w:rsidTr="005F180E">
        <w:trPr>
          <w:trHeight w:val="33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органов дыхания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477,2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1741,1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623,1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165,4</w:t>
            </w:r>
          </w:p>
        </w:tc>
      </w:tr>
      <w:tr w:rsidR="00754DDD" w:rsidRPr="000A635E" w:rsidTr="005F180E">
        <w:trPr>
          <w:trHeight w:val="30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102,1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кожи и подкожной клетчатки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62,0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92,4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82,7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53,9</w:t>
            </w:r>
          </w:p>
        </w:tc>
      </w:tr>
      <w:tr w:rsidR="00754DDD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костно-мышечной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176,0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207,8</w:t>
            </w:r>
          </w:p>
        </w:tc>
      </w:tr>
      <w:tr w:rsidR="00754DDD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Болезни мочеполовой системы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114,8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136,5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Беременность, роды и послеродовый период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19,8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1,8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Отдельные состояния, возникающие в перинатальном периоде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</w:tr>
      <w:tr w:rsidR="00754DDD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Врожденные аномалии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9,5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1,0</w:t>
            </w:r>
          </w:p>
        </w:tc>
      </w:tr>
      <w:tr w:rsidR="00754DDD" w:rsidRPr="000A635E" w:rsidTr="005F180E">
        <w:trPr>
          <w:trHeight w:val="510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Симптомы, признаки и отклонения от нормы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0,0</w:t>
            </w:r>
          </w:p>
        </w:tc>
      </w:tr>
      <w:tr w:rsidR="00754DDD" w:rsidRPr="000A635E" w:rsidTr="005F180E">
        <w:trPr>
          <w:trHeight w:val="255"/>
          <w:jc w:val="center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DDD" w:rsidRPr="00C75E3F" w:rsidRDefault="00754DDD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C75E3F">
              <w:rPr>
                <w:rFonts w:eastAsiaTheme="minorEastAsia"/>
                <w:sz w:val="22"/>
                <w:szCs w:val="22"/>
              </w:rPr>
              <w:t>Травмы и отравления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52,1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4DDD" w:rsidRPr="00C75E3F" w:rsidRDefault="00754DDD" w:rsidP="00C036E9">
            <w:pPr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37,1</w:t>
            </w:r>
          </w:p>
        </w:tc>
      </w:tr>
    </w:tbl>
    <w:p w:rsidR="00BE1110" w:rsidRPr="000A635E" w:rsidRDefault="00BE1110" w:rsidP="00C036E9">
      <w:pPr>
        <w:pStyle w:val="26"/>
        <w:shd w:val="clear" w:color="auto" w:fill="auto"/>
        <w:spacing w:before="0" w:after="111" w:line="240" w:lineRule="auto"/>
        <w:ind w:right="780"/>
        <w:jc w:val="both"/>
        <w:rPr>
          <w:color w:val="000000" w:themeColor="text1"/>
          <w:sz w:val="24"/>
          <w:szCs w:val="24"/>
        </w:rPr>
      </w:pPr>
    </w:p>
    <w:p w:rsidR="00BE1110" w:rsidRPr="000A635E" w:rsidRDefault="00BE1110" w:rsidP="00C75E3F">
      <w:pPr>
        <w:pStyle w:val="26"/>
        <w:shd w:val="clear" w:color="auto" w:fill="auto"/>
        <w:spacing w:before="0" w:after="111" w:line="240" w:lineRule="auto"/>
        <w:ind w:right="780" w:firstLine="709"/>
        <w:jc w:val="both"/>
        <w:rPr>
          <w:color w:val="000000" w:themeColor="text1"/>
          <w:sz w:val="24"/>
          <w:szCs w:val="24"/>
        </w:rPr>
      </w:pPr>
      <w:proofErr w:type="gramStart"/>
      <w:r w:rsidRPr="000A635E">
        <w:rPr>
          <w:color w:val="000000" w:themeColor="text1"/>
          <w:sz w:val="24"/>
          <w:szCs w:val="24"/>
        </w:rPr>
        <w:t xml:space="preserve">В </w:t>
      </w:r>
      <w:r w:rsidR="00754DDD">
        <w:rPr>
          <w:color w:val="000000" w:themeColor="text1"/>
          <w:sz w:val="24"/>
          <w:szCs w:val="24"/>
        </w:rPr>
        <w:t>2019</w:t>
      </w:r>
      <w:r w:rsidRPr="000A635E">
        <w:rPr>
          <w:color w:val="000000" w:themeColor="text1"/>
          <w:sz w:val="24"/>
          <w:szCs w:val="24"/>
        </w:rPr>
        <w:t xml:space="preserve"> году отмечается </w:t>
      </w:r>
      <w:r w:rsidR="005F25E6">
        <w:rPr>
          <w:color w:val="000000" w:themeColor="text1"/>
          <w:sz w:val="24"/>
          <w:szCs w:val="24"/>
        </w:rPr>
        <w:t>увеличение</w:t>
      </w:r>
      <w:r w:rsidRPr="000A635E">
        <w:rPr>
          <w:color w:val="000000" w:themeColor="text1"/>
          <w:sz w:val="24"/>
          <w:szCs w:val="24"/>
        </w:rPr>
        <w:t xml:space="preserve"> общей заболеваемости населения г.</w:t>
      </w:r>
      <w:r w:rsidR="005F180E">
        <w:rPr>
          <w:color w:val="000000" w:themeColor="text1"/>
          <w:sz w:val="24"/>
          <w:szCs w:val="24"/>
        </w:rPr>
        <w:t xml:space="preserve"> </w:t>
      </w:r>
      <w:r w:rsidRPr="000A635E">
        <w:rPr>
          <w:color w:val="000000" w:themeColor="text1"/>
          <w:sz w:val="24"/>
          <w:szCs w:val="24"/>
        </w:rPr>
        <w:lastRenderedPageBreak/>
        <w:t xml:space="preserve">Нефтеюганска,  по сравнению с прошлым годом, на </w:t>
      </w:r>
      <w:r w:rsidR="005F25E6">
        <w:rPr>
          <w:color w:val="000000" w:themeColor="text1"/>
          <w:sz w:val="24"/>
          <w:szCs w:val="24"/>
        </w:rPr>
        <w:t>14,81</w:t>
      </w:r>
      <w:r w:rsidRPr="000A635E">
        <w:rPr>
          <w:color w:val="000000" w:themeColor="text1"/>
          <w:sz w:val="24"/>
          <w:szCs w:val="24"/>
        </w:rPr>
        <w:t xml:space="preserve"> %. В структуре возрастных групп, самый высокий уровень общей заболеваемости в г. Нефтеюганске регистрируется, по прежнему, у детей от 0 до 14 лет.</w:t>
      </w:r>
      <w:proofErr w:type="gramEnd"/>
      <w:r w:rsidRPr="000A635E">
        <w:rPr>
          <w:color w:val="000000" w:themeColor="text1"/>
          <w:sz w:val="24"/>
          <w:szCs w:val="24"/>
        </w:rPr>
        <w:t xml:space="preserve"> По сравнению с прошлым годом, в этой возрастной группе отмечается снижение заболеваемости на </w:t>
      </w:r>
      <w:r w:rsidR="005F25E6">
        <w:rPr>
          <w:color w:val="000000" w:themeColor="text1"/>
          <w:sz w:val="24"/>
          <w:szCs w:val="24"/>
        </w:rPr>
        <w:t>33,29</w:t>
      </w:r>
      <w:r w:rsidR="00A10BDB" w:rsidRPr="000A635E">
        <w:rPr>
          <w:color w:val="000000" w:themeColor="text1"/>
          <w:sz w:val="24"/>
          <w:szCs w:val="24"/>
        </w:rPr>
        <w:t xml:space="preserve"> </w:t>
      </w:r>
      <w:r w:rsidRPr="000A635E">
        <w:rPr>
          <w:color w:val="000000" w:themeColor="text1"/>
          <w:sz w:val="24"/>
          <w:szCs w:val="24"/>
        </w:rPr>
        <w:t xml:space="preserve">%. Среди подростков 15-17 лет заболеваемость снизилась, относительно </w:t>
      </w:r>
      <w:r w:rsidR="009230EC" w:rsidRPr="000A635E">
        <w:rPr>
          <w:color w:val="000000" w:themeColor="text1"/>
          <w:sz w:val="24"/>
          <w:szCs w:val="24"/>
        </w:rPr>
        <w:t>2017</w:t>
      </w:r>
      <w:r w:rsidRPr="000A635E">
        <w:rPr>
          <w:color w:val="000000" w:themeColor="text1"/>
          <w:sz w:val="24"/>
          <w:szCs w:val="24"/>
        </w:rPr>
        <w:t xml:space="preserve"> года, на </w:t>
      </w:r>
      <w:r w:rsidR="005F25E6">
        <w:rPr>
          <w:color w:val="000000" w:themeColor="text1"/>
          <w:sz w:val="24"/>
          <w:szCs w:val="24"/>
        </w:rPr>
        <w:t>36,2</w:t>
      </w:r>
      <w:r w:rsidRPr="000A635E">
        <w:rPr>
          <w:color w:val="000000" w:themeColor="text1"/>
          <w:sz w:val="24"/>
          <w:szCs w:val="24"/>
        </w:rPr>
        <w:t xml:space="preserve"> %. У взрослых от 18 лет и старше отмечается </w:t>
      </w:r>
      <w:r w:rsidR="005F25E6">
        <w:rPr>
          <w:color w:val="000000" w:themeColor="text1"/>
          <w:sz w:val="24"/>
          <w:szCs w:val="24"/>
        </w:rPr>
        <w:t>увеличение</w:t>
      </w:r>
      <w:r w:rsidRPr="000A635E">
        <w:rPr>
          <w:color w:val="000000" w:themeColor="text1"/>
          <w:sz w:val="24"/>
          <w:szCs w:val="24"/>
        </w:rPr>
        <w:t xml:space="preserve"> заболеваемости на </w:t>
      </w:r>
      <w:r w:rsidR="005F25E6">
        <w:rPr>
          <w:color w:val="000000" w:themeColor="text1"/>
          <w:sz w:val="24"/>
          <w:szCs w:val="24"/>
        </w:rPr>
        <w:t>5,67</w:t>
      </w:r>
      <w:r w:rsidRPr="000A635E">
        <w:rPr>
          <w:color w:val="000000" w:themeColor="text1"/>
          <w:sz w:val="24"/>
          <w:szCs w:val="24"/>
        </w:rPr>
        <w:t xml:space="preserve"> %.</w:t>
      </w:r>
    </w:p>
    <w:p w:rsidR="00BE1110" w:rsidRPr="000A635E" w:rsidRDefault="00BE1110" w:rsidP="00C036E9">
      <w:pPr>
        <w:spacing w:after="200"/>
        <w:jc w:val="both"/>
        <w:rPr>
          <w:rFonts w:eastAsiaTheme="minorEastAsia"/>
          <w:color w:val="FF0000"/>
          <w:sz w:val="22"/>
          <w:szCs w:val="22"/>
        </w:rPr>
      </w:pPr>
    </w:p>
    <w:p w:rsidR="00BE1110" w:rsidRDefault="00792D79" w:rsidP="00C75E3F">
      <w:pPr>
        <w:jc w:val="center"/>
        <w:rPr>
          <w:rFonts w:eastAsiaTheme="minorEastAsia"/>
          <w:sz w:val="28"/>
          <w:szCs w:val="22"/>
        </w:rPr>
      </w:pPr>
      <w:r>
        <w:rPr>
          <w:noProof/>
        </w:rPr>
        <w:drawing>
          <wp:inline distT="0" distB="0" distL="0" distR="0" wp14:anchorId="7DDF6C9C" wp14:editId="7F56953A">
            <wp:extent cx="6153150" cy="28289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75E3F" w:rsidRPr="000A635E" w:rsidRDefault="00C75E3F" w:rsidP="00C75E3F">
      <w:pPr>
        <w:jc w:val="center"/>
        <w:rPr>
          <w:rFonts w:eastAsiaTheme="minorEastAsia"/>
          <w:sz w:val="28"/>
          <w:szCs w:val="22"/>
        </w:rPr>
      </w:pPr>
    </w:p>
    <w:p w:rsidR="00BE1110" w:rsidRPr="00C75E3F" w:rsidRDefault="00792D79" w:rsidP="00C75E3F">
      <w:pPr>
        <w:ind w:right="679"/>
        <w:jc w:val="center"/>
        <w:rPr>
          <w:rFonts w:eastAsiaTheme="minorEastAsia"/>
          <w:sz w:val="22"/>
          <w:szCs w:val="22"/>
        </w:rPr>
      </w:pPr>
      <w:r w:rsidRPr="00C75E3F">
        <w:rPr>
          <w:rFonts w:eastAsiaTheme="minorEastAsia"/>
          <w:sz w:val="22"/>
          <w:szCs w:val="22"/>
        </w:rPr>
        <w:t xml:space="preserve">Гистограмма № 5 </w:t>
      </w:r>
      <w:r w:rsidR="00BE1110" w:rsidRPr="00C75E3F">
        <w:rPr>
          <w:rFonts w:eastAsiaTheme="minorEastAsia"/>
          <w:sz w:val="22"/>
          <w:szCs w:val="22"/>
        </w:rPr>
        <w:t>«Динамика общей заболеваемости по приоритетным классам болезней в г. Нефтеюганске за 201</w:t>
      </w:r>
      <w:r w:rsidR="00495474" w:rsidRPr="00C75E3F">
        <w:rPr>
          <w:rFonts w:eastAsiaTheme="minorEastAsia"/>
          <w:sz w:val="22"/>
          <w:szCs w:val="22"/>
        </w:rPr>
        <w:t>7</w:t>
      </w:r>
      <w:r w:rsidR="00BE1110" w:rsidRPr="00C75E3F">
        <w:rPr>
          <w:rFonts w:eastAsiaTheme="minorEastAsia"/>
          <w:sz w:val="22"/>
          <w:szCs w:val="22"/>
        </w:rPr>
        <w:t xml:space="preserve"> – 201</w:t>
      </w:r>
      <w:r w:rsidRPr="00C75E3F">
        <w:rPr>
          <w:rFonts w:eastAsiaTheme="minorEastAsia"/>
          <w:sz w:val="22"/>
          <w:szCs w:val="22"/>
        </w:rPr>
        <w:t>9</w:t>
      </w:r>
      <w:r w:rsidR="00BE1110" w:rsidRPr="00C75E3F">
        <w:rPr>
          <w:rFonts w:eastAsiaTheme="minorEastAsia"/>
          <w:sz w:val="22"/>
          <w:szCs w:val="22"/>
        </w:rPr>
        <w:t xml:space="preserve"> гг.»</w:t>
      </w:r>
    </w:p>
    <w:p w:rsidR="00BE1110" w:rsidRPr="000A635E" w:rsidRDefault="00BE1110" w:rsidP="00C036E9">
      <w:pPr>
        <w:jc w:val="center"/>
        <w:rPr>
          <w:rFonts w:eastAsiaTheme="minorEastAsia"/>
          <w:sz w:val="22"/>
          <w:szCs w:val="22"/>
        </w:rPr>
      </w:pPr>
    </w:p>
    <w:p w:rsidR="00BE1110" w:rsidRPr="000A635E" w:rsidRDefault="00BE1110" w:rsidP="00C75E3F">
      <w:pPr>
        <w:ind w:firstLine="709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динамике за 3 года, в структуре возрастных групп, самый высокий уровень общей заболеваемости в г. Нефтеюганске регистрируется, по-прежнему, у детей от 0 до 14 лет. В этой возрастной группе отмечается </w:t>
      </w:r>
      <w:r w:rsidR="00792D79">
        <w:rPr>
          <w:rFonts w:eastAsiaTheme="minorEastAsia"/>
          <w:sz w:val="24"/>
          <w:szCs w:val="24"/>
        </w:rPr>
        <w:t>снижение</w:t>
      </w:r>
      <w:r w:rsidRPr="000A635E">
        <w:rPr>
          <w:rFonts w:eastAsiaTheme="minorEastAsia"/>
          <w:sz w:val="24"/>
          <w:szCs w:val="24"/>
        </w:rPr>
        <w:t xml:space="preserve"> заболеваемости на </w:t>
      </w:r>
      <w:r w:rsidR="00792D79">
        <w:rPr>
          <w:rFonts w:eastAsiaTheme="minorEastAsia"/>
          <w:color w:val="000000" w:themeColor="text1"/>
          <w:sz w:val="24"/>
          <w:szCs w:val="24"/>
        </w:rPr>
        <w:t>33,3</w:t>
      </w:r>
      <w:r w:rsidRPr="000A635E">
        <w:rPr>
          <w:rFonts w:eastAsiaTheme="minorEastAsia"/>
          <w:color w:val="000000" w:themeColor="text1"/>
          <w:sz w:val="24"/>
          <w:szCs w:val="24"/>
        </w:rPr>
        <w:t xml:space="preserve"> %.</w:t>
      </w:r>
      <w:r w:rsidRPr="000A635E">
        <w:rPr>
          <w:rFonts w:eastAsiaTheme="minorEastAsia"/>
          <w:sz w:val="24"/>
          <w:szCs w:val="24"/>
        </w:rPr>
        <w:t xml:space="preserve"> Среди подростков 15-17 лет заболеваемость </w:t>
      </w:r>
      <w:r w:rsidR="00792D79">
        <w:rPr>
          <w:rFonts w:eastAsiaTheme="minorEastAsia"/>
          <w:sz w:val="24"/>
          <w:szCs w:val="24"/>
        </w:rPr>
        <w:t>уменьшилась</w:t>
      </w:r>
      <w:r w:rsidRPr="000A635E">
        <w:rPr>
          <w:rFonts w:eastAsiaTheme="minorEastAsia"/>
          <w:sz w:val="24"/>
          <w:szCs w:val="24"/>
        </w:rPr>
        <w:t>, относительно 201</w:t>
      </w:r>
      <w:r w:rsidR="00792D79">
        <w:rPr>
          <w:rFonts w:eastAsiaTheme="minorEastAsia"/>
          <w:sz w:val="24"/>
          <w:szCs w:val="24"/>
        </w:rPr>
        <w:t>8</w:t>
      </w:r>
      <w:r w:rsidRPr="000A635E">
        <w:rPr>
          <w:rFonts w:eastAsiaTheme="minorEastAsia"/>
          <w:sz w:val="24"/>
          <w:szCs w:val="24"/>
        </w:rPr>
        <w:t xml:space="preserve"> года, на </w:t>
      </w:r>
      <w:r w:rsidR="00C036E9">
        <w:rPr>
          <w:rFonts w:eastAsiaTheme="minorEastAsia"/>
          <w:sz w:val="24"/>
          <w:szCs w:val="24"/>
        </w:rPr>
        <w:t>36,2</w:t>
      </w:r>
      <w:r w:rsidRPr="000A635E">
        <w:rPr>
          <w:rFonts w:eastAsiaTheme="minorEastAsia"/>
          <w:sz w:val="24"/>
          <w:szCs w:val="24"/>
        </w:rPr>
        <w:t xml:space="preserve"> %. У взрослых от 18 лет и старше отмечается увеличение заболеваемости на </w:t>
      </w:r>
      <w:r w:rsidR="00C036E9">
        <w:rPr>
          <w:rFonts w:eastAsiaTheme="minorEastAsia"/>
          <w:sz w:val="24"/>
          <w:szCs w:val="24"/>
        </w:rPr>
        <w:t>5,67</w:t>
      </w:r>
      <w:r w:rsidRPr="000A635E">
        <w:rPr>
          <w:rFonts w:eastAsiaTheme="minorEastAsia"/>
          <w:sz w:val="24"/>
          <w:szCs w:val="24"/>
        </w:rPr>
        <w:t xml:space="preserve"> % </w:t>
      </w:r>
    </w:p>
    <w:p w:rsidR="00BE1110" w:rsidRPr="000A635E" w:rsidRDefault="00BE1110" w:rsidP="00C036E9">
      <w:pPr>
        <w:jc w:val="both"/>
        <w:rPr>
          <w:rFonts w:eastAsiaTheme="minorEastAsia"/>
          <w:sz w:val="24"/>
          <w:szCs w:val="24"/>
        </w:rPr>
      </w:pPr>
    </w:p>
    <w:p w:rsidR="00BE1110" w:rsidRPr="000A635E" w:rsidRDefault="00C036E9" w:rsidP="00C036E9">
      <w:pPr>
        <w:spacing w:line="276" w:lineRule="auto"/>
        <w:jc w:val="right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Таблица № 2</w:t>
      </w:r>
    </w:p>
    <w:p w:rsidR="00BE1110" w:rsidRPr="000A635E" w:rsidRDefault="00BE1110" w:rsidP="00C036E9">
      <w:pPr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 xml:space="preserve">Показатели общей заболеваемости по возрастным группам  </w:t>
      </w:r>
    </w:p>
    <w:p w:rsidR="00BE1110" w:rsidRDefault="00BE1110" w:rsidP="00C036E9">
      <w:pPr>
        <w:jc w:val="center"/>
        <w:rPr>
          <w:rFonts w:eastAsiaTheme="minorEastAsia"/>
          <w:b/>
          <w:sz w:val="22"/>
          <w:szCs w:val="22"/>
        </w:rPr>
      </w:pPr>
      <w:r w:rsidRPr="000A635E">
        <w:rPr>
          <w:rFonts w:eastAsiaTheme="minorEastAsia"/>
          <w:b/>
          <w:sz w:val="22"/>
          <w:szCs w:val="22"/>
        </w:rPr>
        <w:t>в г. Нефтеюганске за 201</w:t>
      </w:r>
      <w:r w:rsidR="00495474">
        <w:rPr>
          <w:rFonts w:eastAsiaTheme="minorEastAsia"/>
          <w:b/>
          <w:sz w:val="22"/>
          <w:szCs w:val="22"/>
        </w:rPr>
        <w:t>7</w:t>
      </w:r>
      <w:r w:rsidRPr="000A635E">
        <w:rPr>
          <w:rFonts w:eastAsiaTheme="minorEastAsia"/>
          <w:b/>
          <w:sz w:val="22"/>
          <w:szCs w:val="22"/>
        </w:rPr>
        <w:t xml:space="preserve"> – 201</w:t>
      </w:r>
      <w:r w:rsidR="00C036E9">
        <w:rPr>
          <w:rFonts w:eastAsiaTheme="minorEastAsia"/>
          <w:b/>
          <w:sz w:val="22"/>
          <w:szCs w:val="22"/>
        </w:rPr>
        <w:t>9</w:t>
      </w:r>
      <w:r w:rsidRPr="000A635E">
        <w:rPr>
          <w:rFonts w:eastAsiaTheme="minorEastAsia"/>
          <w:b/>
          <w:sz w:val="22"/>
          <w:szCs w:val="22"/>
        </w:rPr>
        <w:t xml:space="preserve"> гг.</w:t>
      </w:r>
    </w:p>
    <w:p w:rsidR="000A635E" w:rsidRPr="000A635E" w:rsidRDefault="000A635E" w:rsidP="00C036E9">
      <w:pPr>
        <w:jc w:val="center"/>
        <w:rPr>
          <w:rFonts w:eastAsiaTheme="minorEastAsia"/>
          <w:b/>
          <w:sz w:val="22"/>
          <w:szCs w:val="22"/>
        </w:rPr>
      </w:pPr>
    </w:p>
    <w:tbl>
      <w:tblPr>
        <w:tblW w:w="7655" w:type="dxa"/>
        <w:jc w:val="center"/>
        <w:tblLayout w:type="fixed"/>
        <w:tblLook w:val="0000" w:firstRow="0" w:lastRow="0" w:firstColumn="0" w:lastColumn="0" w:noHBand="0" w:noVBand="0"/>
      </w:tblPr>
      <w:tblGrid>
        <w:gridCol w:w="2552"/>
        <w:gridCol w:w="1701"/>
        <w:gridCol w:w="1701"/>
        <w:gridCol w:w="1701"/>
      </w:tblGrid>
      <w:tr w:rsidR="00495474" w:rsidRPr="000A635E" w:rsidTr="00495474">
        <w:trPr>
          <w:trHeight w:val="48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2017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0A635E">
              <w:rPr>
                <w:rFonts w:eastAsiaTheme="minorEastAsia"/>
                <w:sz w:val="22"/>
                <w:szCs w:val="22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2018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  <w:r w:rsidRPr="000A635E">
              <w:rPr>
                <w:rFonts w:eastAsiaTheme="minorEastAsia"/>
                <w:sz w:val="22"/>
                <w:szCs w:val="22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 г.</w:t>
            </w:r>
          </w:p>
        </w:tc>
      </w:tr>
      <w:tr w:rsidR="00495474" w:rsidRPr="000A635E" w:rsidTr="00495474">
        <w:trPr>
          <w:trHeight w:val="338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Дети 0-14 лет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4056,7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3850,2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2568,5</w:t>
            </w:r>
          </w:p>
        </w:tc>
      </w:tr>
      <w:tr w:rsidR="00495474" w:rsidRPr="000A635E" w:rsidTr="00495474">
        <w:trPr>
          <w:trHeight w:val="273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Подростки 15-17 лет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2322,8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2229,5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1422,6</w:t>
            </w:r>
          </w:p>
        </w:tc>
      </w:tr>
      <w:tr w:rsidR="00495474" w:rsidRPr="000A635E" w:rsidTr="00495474">
        <w:trPr>
          <w:trHeight w:val="27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Взрослые 18 лет и старше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1218,7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</w:rPr>
            </w:pPr>
            <w:r w:rsidRPr="000A635E">
              <w:rPr>
                <w:rFonts w:eastAsiaTheme="minorEastAsia"/>
                <w:sz w:val="22"/>
                <w:szCs w:val="22"/>
              </w:rPr>
              <w:t>1217,4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74" w:rsidRPr="000A635E" w:rsidRDefault="00495474" w:rsidP="00C036E9">
            <w:pPr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1286,5</w:t>
            </w:r>
          </w:p>
        </w:tc>
      </w:tr>
    </w:tbl>
    <w:p w:rsidR="00BE1110" w:rsidRDefault="00495474" w:rsidP="00C036E9">
      <w:pPr>
        <w:tabs>
          <w:tab w:val="left" w:pos="4111"/>
        </w:tabs>
        <w:spacing w:after="200"/>
        <w:jc w:val="center"/>
        <w:rPr>
          <w:rFonts w:eastAsiaTheme="minorEastAsia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1E1459BA" wp14:editId="0A04DDC2">
            <wp:extent cx="5676900" cy="3248025"/>
            <wp:effectExtent l="0" t="0" r="19050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75E3F" w:rsidRPr="000A635E" w:rsidRDefault="00C75E3F" w:rsidP="00C036E9">
      <w:pPr>
        <w:tabs>
          <w:tab w:val="left" w:pos="4111"/>
        </w:tabs>
        <w:spacing w:after="200"/>
        <w:jc w:val="center"/>
        <w:rPr>
          <w:rFonts w:eastAsiaTheme="minorEastAsia"/>
          <w:sz w:val="22"/>
          <w:szCs w:val="22"/>
        </w:rPr>
      </w:pPr>
    </w:p>
    <w:p w:rsidR="00BE1110" w:rsidRPr="00C75E3F" w:rsidRDefault="00C036E9" w:rsidP="00C036E9">
      <w:pPr>
        <w:jc w:val="center"/>
        <w:rPr>
          <w:rFonts w:eastAsiaTheme="minorEastAsia"/>
          <w:sz w:val="22"/>
          <w:szCs w:val="22"/>
        </w:rPr>
      </w:pPr>
      <w:r w:rsidRPr="00C75E3F">
        <w:rPr>
          <w:rFonts w:eastAsiaTheme="minorEastAsia"/>
          <w:sz w:val="22"/>
          <w:szCs w:val="22"/>
        </w:rPr>
        <w:t>График</w:t>
      </w:r>
      <w:r w:rsidR="00BE1110" w:rsidRPr="00C75E3F">
        <w:rPr>
          <w:rFonts w:eastAsiaTheme="minorEastAsia"/>
          <w:sz w:val="22"/>
          <w:szCs w:val="22"/>
        </w:rPr>
        <w:t xml:space="preserve"> №6   «Динамика показателей заболеваемости по возрастным группам за период с 201</w:t>
      </w:r>
      <w:r w:rsidR="00495474" w:rsidRPr="00C75E3F">
        <w:rPr>
          <w:rFonts w:eastAsiaTheme="minorEastAsia"/>
          <w:sz w:val="22"/>
          <w:szCs w:val="22"/>
        </w:rPr>
        <w:t>7</w:t>
      </w:r>
      <w:r w:rsidR="00BE1110" w:rsidRPr="00C75E3F">
        <w:rPr>
          <w:rFonts w:eastAsiaTheme="minorEastAsia"/>
          <w:sz w:val="22"/>
          <w:szCs w:val="22"/>
        </w:rPr>
        <w:t xml:space="preserve"> по 201</w:t>
      </w:r>
      <w:r w:rsidRPr="00C75E3F">
        <w:rPr>
          <w:rFonts w:eastAsiaTheme="minorEastAsia"/>
          <w:sz w:val="22"/>
          <w:szCs w:val="22"/>
        </w:rPr>
        <w:t>9</w:t>
      </w:r>
      <w:r w:rsidR="00BE1110" w:rsidRPr="00C75E3F">
        <w:rPr>
          <w:rFonts w:eastAsiaTheme="minorEastAsia"/>
          <w:sz w:val="22"/>
          <w:szCs w:val="22"/>
        </w:rPr>
        <w:t xml:space="preserve"> гг.»</w:t>
      </w:r>
    </w:p>
    <w:p w:rsidR="00C036E9" w:rsidRPr="00C75E3F" w:rsidRDefault="00C036E9" w:rsidP="00C036E9">
      <w:pPr>
        <w:jc w:val="center"/>
        <w:rPr>
          <w:rFonts w:eastAsiaTheme="minorEastAsia"/>
          <w:sz w:val="22"/>
          <w:szCs w:val="22"/>
        </w:rPr>
      </w:pPr>
    </w:p>
    <w:p w:rsidR="00D61E70" w:rsidRPr="000A635E" w:rsidRDefault="00C036E9" w:rsidP="00A055F0">
      <w:pPr>
        <w:tabs>
          <w:tab w:val="left" w:pos="2552"/>
        </w:tabs>
        <w:rPr>
          <w:rFonts w:eastAsiaTheme="minorEastAsia"/>
          <w:sz w:val="21"/>
          <w:szCs w:val="21"/>
        </w:rPr>
      </w:pPr>
      <w:r>
        <w:rPr>
          <w:noProof/>
        </w:rPr>
        <w:drawing>
          <wp:inline distT="0" distB="0" distL="0" distR="0" wp14:anchorId="1D8C9B54" wp14:editId="362F9612">
            <wp:extent cx="5949537" cy="3586348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055F0" w:rsidRDefault="00A055F0" w:rsidP="00C036E9">
      <w:pPr>
        <w:spacing w:after="200" w:line="276" w:lineRule="auto"/>
        <w:rPr>
          <w:rFonts w:eastAsiaTheme="minorEastAsia"/>
          <w:sz w:val="21"/>
          <w:szCs w:val="21"/>
        </w:rPr>
      </w:pPr>
    </w:p>
    <w:p w:rsidR="00BC1BF1" w:rsidRPr="00C75E3F" w:rsidRDefault="00A055F0" w:rsidP="00C036E9">
      <w:pPr>
        <w:spacing w:after="200" w:line="276" w:lineRule="auto"/>
        <w:rPr>
          <w:rFonts w:eastAsiaTheme="minorEastAsia"/>
          <w:sz w:val="22"/>
          <w:szCs w:val="22"/>
        </w:rPr>
      </w:pPr>
      <w:r w:rsidRPr="00C75E3F">
        <w:rPr>
          <w:rFonts w:eastAsiaTheme="minorEastAsia"/>
          <w:sz w:val="22"/>
          <w:szCs w:val="22"/>
        </w:rPr>
        <w:t>График № 7</w:t>
      </w:r>
      <w:r w:rsidR="00BC1BF1" w:rsidRPr="00C75E3F">
        <w:rPr>
          <w:rFonts w:eastAsiaTheme="minorEastAsia"/>
          <w:sz w:val="22"/>
          <w:szCs w:val="22"/>
        </w:rPr>
        <w:t xml:space="preserve">   «Структура общей заболеваемости по нозологическим группам (все население) за 201</w:t>
      </w:r>
      <w:r w:rsidR="005F180E" w:rsidRPr="00C75E3F">
        <w:rPr>
          <w:rFonts w:eastAsiaTheme="minorEastAsia"/>
          <w:sz w:val="22"/>
          <w:szCs w:val="22"/>
        </w:rPr>
        <w:t>9</w:t>
      </w:r>
      <w:r w:rsidR="00BC1BF1" w:rsidRPr="00C75E3F">
        <w:rPr>
          <w:rFonts w:eastAsiaTheme="minorEastAsia"/>
          <w:sz w:val="22"/>
          <w:szCs w:val="22"/>
        </w:rPr>
        <w:t>г.</w:t>
      </w:r>
    </w:p>
    <w:p w:rsidR="00BE1110" w:rsidRDefault="00BC1BF1" w:rsidP="00C75E3F">
      <w:pPr>
        <w:spacing w:after="200"/>
        <w:ind w:firstLine="709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lastRenderedPageBreak/>
        <w:t>В структуре общей заболеваемости всего населения в г.</w:t>
      </w:r>
      <w:r w:rsidR="005F180E"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>Нефтеюганске первое место занимают болезни органов дыхания (3</w:t>
      </w:r>
      <w:r w:rsidR="00C036E9">
        <w:rPr>
          <w:rFonts w:eastAsiaTheme="minorEastAsia"/>
          <w:sz w:val="24"/>
          <w:szCs w:val="24"/>
        </w:rPr>
        <w:t>1</w:t>
      </w:r>
      <w:r w:rsidRPr="000A635E">
        <w:rPr>
          <w:rFonts w:eastAsiaTheme="minorEastAsia"/>
          <w:sz w:val="24"/>
          <w:szCs w:val="24"/>
        </w:rPr>
        <w:t>,</w:t>
      </w:r>
      <w:r w:rsidR="00D046ED" w:rsidRPr="000A635E">
        <w:rPr>
          <w:rFonts w:eastAsiaTheme="minorEastAsia"/>
          <w:sz w:val="24"/>
          <w:szCs w:val="24"/>
        </w:rPr>
        <w:t>1</w:t>
      </w:r>
      <w:r w:rsidR="00C036E9">
        <w:rPr>
          <w:rFonts w:eastAsiaTheme="minorEastAsia"/>
          <w:sz w:val="24"/>
          <w:szCs w:val="24"/>
        </w:rPr>
        <w:t>3</w:t>
      </w:r>
      <w:r w:rsidRPr="000A635E">
        <w:rPr>
          <w:rFonts w:eastAsiaTheme="minorEastAsia"/>
          <w:sz w:val="24"/>
          <w:szCs w:val="24"/>
        </w:rPr>
        <w:t xml:space="preserve">% </w:t>
      </w:r>
      <w:r w:rsidR="00C036E9"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 xml:space="preserve">- </w:t>
      </w:r>
      <w:r w:rsidR="00C036E9">
        <w:rPr>
          <w:rFonts w:eastAsiaTheme="minorEastAsia"/>
          <w:sz w:val="24"/>
          <w:szCs w:val="24"/>
        </w:rPr>
        <w:t>477,2</w:t>
      </w:r>
      <w:r w:rsidRPr="000A635E">
        <w:rPr>
          <w:rFonts w:eastAsiaTheme="minorEastAsia"/>
          <w:sz w:val="24"/>
          <w:szCs w:val="24"/>
        </w:rPr>
        <w:t xml:space="preserve"> случая на 1000 населения); далее – </w:t>
      </w:r>
      <w:r w:rsidR="00D046ED" w:rsidRPr="000A635E">
        <w:rPr>
          <w:rFonts w:eastAsiaTheme="minorEastAsia"/>
          <w:sz w:val="24"/>
          <w:szCs w:val="24"/>
        </w:rPr>
        <w:t xml:space="preserve">болезни костно-мышечной системы </w:t>
      </w:r>
      <w:r w:rsidRPr="000A635E">
        <w:rPr>
          <w:rFonts w:eastAsiaTheme="minorEastAsia"/>
          <w:sz w:val="24"/>
          <w:szCs w:val="24"/>
        </w:rPr>
        <w:t>(</w:t>
      </w:r>
      <w:r w:rsidR="00C036E9">
        <w:rPr>
          <w:rFonts w:eastAsiaTheme="minorEastAsia"/>
          <w:sz w:val="24"/>
          <w:szCs w:val="24"/>
        </w:rPr>
        <w:t>11,48</w:t>
      </w:r>
      <w:r w:rsidRPr="000A635E">
        <w:rPr>
          <w:rFonts w:eastAsiaTheme="minorEastAsia"/>
          <w:sz w:val="24"/>
          <w:szCs w:val="24"/>
        </w:rPr>
        <w:t xml:space="preserve"> % - </w:t>
      </w:r>
      <w:r w:rsidR="00C036E9">
        <w:rPr>
          <w:rFonts w:eastAsiaTheme="minorEastAsia"/>
          <w:sz w:val="24"/>
          <w:szCs w:val="24"/>
        </w:rPr>
        <w:t>1</w:t>
      </w:r>
      <w:r w:rsidR="00A055F0">
        <w:rPr>
          <w:rFonts w:eastAsiaTheme="minorEastAsia"/>
          <w:sz w:val="24"/>
          <w:szCs w:val="24"/>
        </w:rPr>
        <w:t>76</w:t>
      </w:r>
      <w:r w:rsidR="00D046ED" w:rsidRPr="000A635E">
        <w:rPr>
          <w:rFonts w:eastAsiaTheme="minorEastAsia"/>
          <w:sz w:val="24"/>
          <w:szCs w:val="24"/>
        </w:rPr>
        <w:t xml:space="preserve"> </w:t>
      </w:r>
      <w:r w:rsidR="00C036E9">
        <w:rPr>
          <w:rFonts w:eastAsiaTheme="minorEastAsia"/>
          <w:sz w:val="24"/>
          <w:szCs w:val="24"/>
        </w:rPr>
        <w:t>случаев</w:t>
      </w:r>
      <w:r w:rsidRPr="000A635E">
        <w:rPr>
          <w:rFonts w:eastAsiaTheme="minorEastAsia"/>
          <w:sz w:val="24"/>
          <w:szCs w:val="24"/>
        </w:rPr>
        <w:t xml:space="preserve"> на 1000 населения), </w:t>
      </w:r>
      <w:r w:rsidR="00D046ED" w:rsidRPr="000A635E">
        <w:rPr>
          <w:rFonts w:eastAsiaTheme="minorEastAsia"/>
          <w:sz w:val="24"/>
          <w:szCs w:val="24"/>
        </w:rPr>
        <w:t xml:space="preserve">болезни органов кровообращения </w:t>
      </w:r>
      <w:r w:rsidRPr="000A635E">
        <w:rPr>
          <w:rFonts w:eastAsiaTheme="minorEastAsia"/>
          <w:sz w:val="24"/>
          <w:szCs w:val="24"/>
        </w:rPr>
        <w:t>(</w:t>
      </w:r>
      <w:r w:rsidR="00C036E9">
        <w:rPr>
          <w:rFonts w:eastAsiaTheme="minorEastAsia"/>
          <w:sz w:val="24"/>
          <w:szCs w:val="24"/>
        </w:rPr>
        <w:t>8,8</w:t>
      </w:r>
      <w:r w:rsidRPr="000A635E">
        <w:rPr>
          <w:rFonts w:eastAsiaTheme="minorEastAsia"/>
          <w:sz w:val="24"/>
          <w:szCs w:val="24"/>
        </w:rPr>
        <w:t xml:space="preserve">% - </w:t>
      </w:r>
      <w:r w:rsidR="00A055F0">
        <w:rPr>
          <w:rFonts w:eastAsiaTheme="minorEastAsia"/>
          <w:sz w:val="24"/>
          <w:szCs w:val="24"/>
        </w:rPr>
        <w:t>135</w:t>
      </w:r>
      <w:r w:rsidR="00D046ED" w:rsidRPr="000A635E"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>случа</w:t>
      </w:r>
      <w:r w:rsidR="00A055F0">
        <w:rPr>
          <w:rFonts w:eastAsiaTheme="minorEastAsia"/>
          <w:sz w:val="24"/>
          <w:szCs w:val="24"/>
        </w:rPr>
        <w:t>ев</w:t>
      </w:r>
      <w:r w:rsidRPr="000A635E">
        <w:rPr>
          <w:rFonts w:eastAsiaTheme="minorEastAsia"/>
          <w:sz w:val="24"/>
          <w:szCs w:val="24"/>
        </w:rPr>
        <w:t xml:space="preserve"> на 1000 населения).</w:t>
      </w:r>
    </w:p>
    <w:p w:rsidR="008D4D7F" w:rsidRDefault="00A055F0" w:rsidP="00C75E3F">
      <w:pPr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61274809" wp14:editId="3B036A52">
            <wp:extent cx="5902036" cy="3610098"/>
            <wp:effectExtent l="0" t="0" r="381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75E3F" w:rsidRPr="000A635E" w:rsidRDefault="00C75E3F" w:rsidP="00C75E3F">
      <w:pPr>
        <w:rPr>
          <w:rFonts w:eastAsiaTheme="minorEastAsia"/>
          <w:sz w:val="24"/>
          <w:szCs w:val="24"/>
        </w:rPr>
      </w:pPr>
    </w:p>
    <w:p w:rsidR="00BC1BF1" w:rsidRPr="00C75E3F" w:rsidRDefault="00A055F0" w:rsidP="00C75E3F">
      <w:pPr>
        <w:rPr>
          <w:rFonts w:eastAsiaTheme="minorEastAsia"/>
          <w:sz w:val="22"/>
          <w:szCs w:val="22"/>
        </w:rPr>
      </w:pPr>
      <w:r w:rsidRPr="00C75E3F">
        <w:rPr>
          <w:rFonts w:eastAsiaTheme="minorEastAsia"/>
          <w:sz w:val="22"/>
          <w:szCs w:val="22"/>
        </w:rPr>
        <w:t>График № 8</w:t>
      </w:r>
      <w:r w:rsidR="00BC1BF1" w:rsidRPr="00C75E3F">
        <w:rPr>
          <w:rFonts w:eastAsiaTheme="minorEastAsia"/>
          <w:sz w:val="22"/>
          <w:szCs w:val="22"/>
        </w:rPr>
        <w:t xml:space="preserve">   «Структура общей заболеваемости по нозологическим группам (дети) за 20</w:t>
      </w:r>
      <w:r w:rsidRPr="00C75E3F">
        <w:rPr>
          <w:rFonts w:eastAsiaTheme="minorEastAsia"/>
          <w:sz w:val="22"/>
          <w:szCs w:val="22"/>
        </w:rPr>
        <w:t>19</w:t>
      </w:r>
      <w:r w:rsidR="00BC1BF1" w:rsidRPr="00C75E3F">
        <w:rPr>
          <w:rFonts w:eastAsiaTheme="minorEastAsia"/>
          <w:sz w:val="22"/>
          <w:szCs w:val="22"/>
        </w:rPr>
        <w:t>г.</w:t>
      </w:r>
    </w:p>
    <w:p w:rsidR="00BC1BF1" w:rsidRPr="000A635E" w:rsidRDefault="00BC1BF1" w:rsidP="00C036E9">
      <w:pPr>
        <w:rPr>
          <w:rFonts w:eastAsiaTheme="minorEastAsia"/>
          <w:sz w:val="21"/>
          <w:szCs w:val="21"/>
        </w:rPr>
      </w:pPr>
    </w:p>
    <w:p w:rsidR="00BC1BF1" w:rsidRPr="000A635E" w:rsidRDefault="00BC1BF1" w:rsidP="00A055F0">
      <w:pPr>
        <w:ind w:firstLine="708"/>
        <w:rPr>
          <w:rFonts w:eastAsiaTheme="minorEastAsia"/>
          <w:sz w:val="24"/>
          <w:szCs w:val="21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детей в г.</w:t>
      </w:r>
      <w:r w:rsidR="005F180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Нефтеюганске первое место занимают болезни органов дыхания (</w:t>
      </w:r>
      <w:r w:rsidR="00A055F0">
        <w:rPr>
          <w:rFonts w:eastAsiaTheme="minorEastAsia"/>
          <w:sz w:val="24"/>
          <w:szCs w:val="21"/>
        </w:rPr>
        <w:t>67,8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A055F0">
        <w:rPr>
          <w:rFonts w:eastAsiaTheme="minorEastAsia"/>
          <w:sz w:val="24"/>
          <w:szCs w:val="21"/>
        </w:rPr>
        <w:t>1741,1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="00A055F0">
        <w:rPr>
          <w:rFonts w:eastAsiaTheme="minorEastAsia"/>
          <w:sz w:val="24"/>
          <w:szCs w:val="21"/>
        </w:rPr>
        <w:t>случаев</w:t>
      </w:r>
      <w:r w:rsidRPr="000A635E">
        <w:rPr>
          <w:rFonts w:eastAsiaTheme="minorEastAsia"/>
          <w:sz w:val="24"/>
          <w:szCs w:val="21"/>
        </w:rPr>
        <w:t xml:space="preserve"> на 1000 детей); далее – </w:t>
      </w:r>
      <w:r w:rsidR="00A055F0" w:rsidRPr="000A635E">
        <w:rPr>
          <w:rFonts w:eastAsiaTheme="minorEastAsia"/>
          <w:sz w:val="24"/>
          <w:szCs w:val="21"/>
        </w:rPr>
        <w:t>болезни глаза и его придаточного аппарата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proofErr w:type="gramStart"/>
      <w:r w:rsidRPr="000A635E">
        <w:rPr>
          <w:rFonts w:eastAsiaTheme="minorEastAsia"/>
          <w:sz w:val="24"/>
          <w:szCs w:val="21"/>
        </w:rPr>
        <w:t xml:space="preserve">( </w:t>
      </w:r>
      <w:proofErr w:type="gramEnd"/>
      <w:r w:rsidR="00A055F0">
        <w:rPr>
          <w:rFonts w:eastAsiaTheme="minorEastAsia"/>
          <w:sz w:val="24"/>
          <w:szCs w:val="21"/>
        </w:rPr>
        <w:t>4,8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A055F0">
        <w:rPr>
          <w:rFonts w:eastAsiaTheme="minorEastAsia"/>
          <w:sz w:val="24"/>
          <w:szCs w:val="21"/>
        </w:rPr>
        <w:t>123,4</w:t>
      </w:r>
      <w:r w:rsidRPr="000A635E">
        <w:rPr>
          <w:rFonts w:eastAsiaTheme="minorEastAsia"/>
          <w:sz w:val="24"/>
          <w:szCs w:val="21"/>
        </w:rPr>
        <w:t xml:space="preserve"> случая на 1000 детей), </w:t>
      </w:r>
      <w:r w:rsidR="00A055F0">
        <w:rPr>
          <w:rFonts w:eastAsiaTheme="minorEastAsia"/>
          <w:sz w:val="24"/>
          <w:szCs w:val="21"/>
        </w:rPr>
        <w:t>болезни органов пищеварения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(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="00A055F0">
        <w:rPr>
          <w:rFonts w:eastAsiaTheme="minorEastAsia"/>
          <w:sz w:val="24"/>
          <w:szCs w:val="21"/>
        </w:rPr>
        <w:t>4,04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A055F0">
        <w:rPr>
          <w:rFonts w:eastAsiaTheme="minorEastAsia"/>
          <w:sz w:val="24"/>
          <w:szCs w:val="21"/>
        </w:rPr>
        <w:t>103,7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случая на 1000 детей).</w:t>
      </w:r>
    </w:p>
    <w:p w:rsidR="008D4D7F" w:rsidRPr="000A635E" w:rsidRDefault="008D4D7F" w:rsidP="00C036E9">
      <w:pPr>
        <w:spacing w:after="200" w:line="276" w:lineRule="auto"/>
        <w:rPr>
          <w:rFonts w:eastAsiaTheme="minorEastAsia"/>
          <w:sz w:val="24"/>
          <w:szCs w:val="24"/>
        </w:rPr>
      </w:pPr>
    </w:p>
    <w:p w:rsidR="0022753D" w:rsidRDefault="00A055F0" w:rsidP="00C75E3F">
      <w:pPr>
        <w:spacing w:line="276" w:lineRule="auto"/>
        <w:rPr>
          <w:rFonts w:eastAsiaTheme="minorEastAsia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E98D0B5" wp14:editId="478BA192">
            <wp:extent cx="5941060" cy="3446661"/>
            <wp:effectExtent l="0" t="0" r="2540" b="190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75E3F" w:rsidRPr="000A635E" w:rsidRDefault="00C75E3F" w:rsidP="00C75E3F">
      <w:pPr>
        <w:spacing w:line="276" w:lineRule="auto"/>
        <w:rPr>
          <w:rFonts w:eastAsiaTheme="minorEastAsia"/>
          <w:sz w:val="24"/>
          <w:szCs w:val="24"/>
        </w:rPr>
      </w:pPr>
    </w:p>
    <w:p w:rsidR="00BC1BF1" w:rsidRPr="00C75E3F" w:rsidRDefault="00C92752" w:rsidP="00C75E3F">
      <w:pPr>
        <w:spacing w:line="276" w:lineRule="auto"/>
        <w:rPr>
          <w:rFonts w:eastAsiaTheme="minorEastAsia"/>
          <w:sz w:val="22"/>
          <w:szCs w:val="22"/>
        </w:rPr>
      </w:pPr>
      <w:r w:rsidRPr="00C75E3F">
        <w:rPr>
          <w:rFonts w:eastAsiaTheme="minorEastAsia"/>
          <w:sz w:val="22"/>
          <w:szCs w:val="22"/>
        </w:rPr>
        <w:t>График № 9</w:t>
      </w:r>
      <w:r w:rsidR="00BC1BF1" w:rsidRPr="00C75E3F">
        <w:rPr>
          <w:rFonts w:eastAsiaTheme="minorEastAsia"/>
          <w:sz w:val="22"/>
          <w:szCs w:val="22"/>
        </w:rPr>
        <w:t xml:space="preserve">  «Структура общей заболеваемости по нозологическим группам (подростки) за 201</w:t>
      </w:r>
      <w:r w:rsidRPr="00C75E3F">
        <w:rPr>
          <w:rFonts w:eastAsiaTheme="minorEastAsia"/>
          <w:sz w:val="22"/>
          <w:szCs w:val="22"/>
        </w:rPr>
        <w:t>9</w:t>
      </w:r>
      <w:r w:rsidR="00BC1BF1" w:rsidRPr="00C75E3F">
        <w:rPr>
          <w:rFonts w:eastAsiaTheme="minorEastAsia"/>
          <w:sz w:val="22"/>
          <w:szCs w:val="22"/>
        </w:rPr>
        <w:t>г.</w:t>
      </w:r>
    </w:p>
    <w:p w:rsidR="00C75E3F" w:rsidRPr="000A635E" w:rsidRDefault="00C75E3F" w:rsidP="00C75E3F">
      <w:pPr>
        <w:spacing w:line="276" w:lineRule="auto"/>
        <w:rPr>
          <w:rFonts w:eastAsiaTheme="minorEastAsia"/>
        </w:rPr>
      </w:pPr>
    </w:p>
    <w:p w:rsidR="00BC1BF1" w:rsidRPr="000A635E" w:rsidRDefault="00BC1BF1" w:rsidP="00C75E3F">
      <w:pPr>
        <w:tabs>
          <w:tab w:val="left" w:pos="3715"/>
        </w:tabs>
        <w:ind w:firstLine="709"/>
        <w:rPr>
          <w:rFonts w:eastAsiaTheme="minorEastAsia"/>
          <w:sz w:val="24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подростков в г.</w:t>
      </w:r>
      <w:r w:rsidR="005F180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Нефтеюганске первое место занимают болезни органов дыхания (</w:t>
      </w:r>
      <w:r w:rsidR="00C92752">
        <w:rPr>
          <w:rFonts w:eastAsiaTheme="minorEastAsia"/>
          <w:sz w:val="24"/>
          <w:szCs w:val="21"/>
        </w:rPr>
        <w:t>43,8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C92752">
        <w:rPr>
          <w:rFonts w:eastAsiaTheme="minorEastAsia"/>
          <w:sz w:val="24"/>
          <w:szCs w:val="21"/>
        </w:rPr>
        <w:t>623,1</w:t>
      </w:r>
      <w:r w:rsidRPr="000A635E">
        <w:rPr>
          <w:rFonts w:eastAsiaTheme="minorEastAsia"/>
          <w:sz w:val="24"/>
          <w:szCs w:val="21"/>
        </w:rPr>
        <w:t xml:space="preserve"> случа</w:t>
      </w:r>
      <w:r w:rsidR="00C92752">
        <w:rPr>
          <w:rFonts w:eastAsiaTheme="minorEastAsia"/>
          <w:sz w:val="24"/>
          <w:szCs w:val="21"/>
        </w:rPr>
        <w:t>я на 1000 подростков); далее – т</w:t>
      </w:r>
      <w:r w:rsidR="00C92752" w:rsidRPr="00C92752">
        <w:rPr>
          <w:rFonts w:eastAsiaTheme="minorEastAsia"/>
          <w:sz w:val="24"/>
          <w:szCs w:val="21"/>
        </w:rPr>
        <w:t>равмы, отравления и некоторые другие последствия воздействия внешних  причин</w:t>
      </w:r>
      <w:r w:rsidR="002A0CD2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(</w:t>
      </w:r>
      <w:r w:rsidR="00C92752">
        <w:rPr>
          <w:rFonts w:eastAsiaTheme="minorEastAsia"/>
          <w:sz w:val="24"/>
          <w:szCs w:val="21"/>
        </w:rPr>
        <w:t>11,43</w:t>
      </w:r>
      <w:r w:rsidRPr="000A635E">
        <w:rPr>
          <w:rFonts w:eastAsiaTheme="minorEastAsia"/>
          <w:sz w:val="24"/>
          <w:szCs w:val="21"/>
        </w:rPr>
        <w:t xml:space="preserve"> % - </w:t>
      </w:r>
      <w:r w:rsidR="00C92752">
        <w:rPr>
          <w:rFonts w:eastAsiaTheme="minorEastAsia"/>
          <w:sz w:val="24"/>
          <w:szCs w:val="21"/>
        </w:rPr>
        <w:t>162,5</w:t>
      </w:r>
      <w:r w:rsidRPr="000A635E">
        <w:rPr>
          <w:rFonts w:eastAsiaTheme="minorEastAsia"/>
          <w:sz w:val="24"/>
          <w:szCs w:val="21"/>
        </w:rPr>
        <w:t xml:space="preserve"> случа</w:t>
      </w:r>
      <w:r w:rsidR="00C92752">
        <w:rPr>
          <w:rFonts w:eastAsiaTheme="minorEastAsia"/>
          <w:sz w:val="24"/>
          <w:szCs w:val="21"/>
        </w:rPr>
        <w:t>я</w:t>
      </w:r>
      <w:r w:rsidRPr="000A635E">
        <w:rPr>
          <w:rFonts w:eastAsiaTheme="minorEastAsia"/>
          <w:sz w:val="24"/>
          <w:szCs w:val="21"/>
        </w:rPr>
        <w:t xml:space="preserve"> на 1000 подростков), болезни </w:t>
      </w:r>
      <w:r w:rsidR="00C92752">
        <w:rPr>
          <w:rFonts w:eastAsiaTheme="minorEastAsia"/>
          <w:sz w:val="24"/>
          <w:szCs w:val="21"/>
        </w:rPr>
        <w:t>костно-мышечной</w:t>
      </w:r>
      <w:r w:rsidRPr="000A635E">
        <w:rPr>
          <w:rFonts w:eastAsiaTheme="minorEastAsia"/>
          <w:sz w:val="24"/>
          <w:szCs w:val="21"/>
        </w:rPr>
        <w:t xml:space="preserve"> системы</w:t>
      </w:r>
      <w:r w:rsidR="00C92752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(</w:t>
      </w:r>
      <w:r w:rsidR="00C92752">
        <w:rPr>
          <w:rFonts w:eastAsiaTheme="minorEastAsia"/>
          <w:sz w:val="24"/>
          <w:szCs w:val="21"/>
        </w:rPr>
        <w:t>8,79</w:t>
      </w:r>
      <w:r w:rsidR="0050282B" w:rsidRPr="000A635E">
        <w:rPr>
          <w:rFonts w:eastAsiaTheme="minorEastAsia"/>
          <w:sz w:val="24"/>
          <w:szCs w:val="21"/>
        </w:rPr>
        <w:t xml:space="preserve"> %</w:t>
      </w:r>
      <w:r w:rsidRPr="000A635E">
        <w:rPr>
          <w:rFonts w:eastAsiaTheme="minorEastAsia"/>
          <w:sz w:val="24"/>
          <w:szCs w:val="21"/>
        </w:rPr>
        <w:t xml:space="preserve"> - </w:t>
      </w:r>
      <w:r w:rsidR="00C92752">
        <w:rPr>
          <w:rFonts w:eastAsiaTheme="minorEastAsia"/>
          <w:sz w:val="24"/>
          <w:szCs w:val="21"/>
        </w:rPr>
        <w:t>125</w:t>
      </w:r>
      <w:r w:rsidR="0050282B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случая на 1000 подростков).</w:t>
      </w:r>
    </w:p>
    <w:p w:rsidR="00215D5A" w:rsidRPr="000A635E" w:rsidRDefault="00215D5A" w:rsidP="00C036E9">
      <w:pPr>
        <w:spacing w:after="200" w:line="276" w:lineRule="auto"/>
        <w:rPr>
          <w:rFonts w:eastAsiaTheme="minorEastAsia"/>
          <w:sz w:val="24"/>
          <w:szCs w:val="24"/>
        </w:rPr>
      </w:pPr>
    </w:p>
    <w:p w:rsidR="00215D5A" w:rsidRPr="000A635E" w:rsidRDefault="00DF2D55" w:rsidP="00C036E9">
      <w:pPr>
        <w:spacing w:after="200" w:line="276" w:lineRule="auto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316039CA" wp14:editId="6AE7AB74">
            <wp:extent cx="5941060" cy="3404352"/>
            <wp:effectExtent l="0" t="0" r="2540" b="571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BC1BF1" w:rsidRPr="00C75E3F" w:rsidRDefault="00DF2D55" w:rsidP="00DF2D55">
      <w:pPr>
        <w:jc w:val="both"/>
        <w:rPr>
          <w:rFonts w:eastAsiaTheme="minorEastAsia"/>
          <w:sz w:val="22"/>
          <w:szCs w:val="22"/>
        </w:rPr>
      </w:pPr>
      <w:r w:rsidRPr="00C75E3F">
        <w:rPr>
          <w:rFonts w:eastAsiaTheme="minorEastAsia"/>
          <w:sz w:val="22"/>
          <w:szCs w:val="22"/>
        </w:rPr>
        <w:lastRenderedPageBreak/>
        <w:t xml:space="preserve">График № 10 </w:t>
      </w:r>
      <w:r w:rsidR="00BC1BF1" w:rsidRPr="00C75E3F">
        <w:rPr>
          <w:rFonts w:eastAsiaTheme="minorEastAsia"/>
          <w:sz w:val="22"/>
          <w:szCs w:val="22"/>
        </w:rPr>
        <w:t>«Структура общей заболеваемости по нозологическим группам (взрослые) за 201</w:t>
      </w:r>
      <w:r w:rsidRPr="00C75E3F">
        <w:rPr>
          <w:rFonts w:eastAsiaTheme="minorEastAsia"/>
          <w:sz w:val="22"/>
          <w:szCs w:val="22"/>
        </w:rPr>
        <w:t>9</w:t>
      </w:r>
      <w:r w:rsidR="00BC1BF1" w:rsidRPr="00C75E3F">
        <w:rPr>
          <w:rFonts w:eastAsiaTheme="minorEastAsia"/>
          <w:sz w:val="22"/>
          <w:szCs w:val="22"/>
        </w:rPr>
        <w:t>г.</w:t>
      </w:r>
    </w:p>
    <w:p w:rsidR="00BC1BF1" w:rsidRPr="000A635E" w:rsidRDefault="00BC1BF1" w:rsidP="00C036E9">
      <w:pPr>
        <w:jc w:val="both"/>
        <w:rPr>
          <w:rFonts w:eastAsiaTheme="minorEastAsia"/>
          <w:sz w:val="21"/>
          <w:szCs w:val="21"/>
        </w:rPr>
      </w:pPr>
    </w:p>
    <w:p w:rsidR="00BC1BF1" w:rsidRPr="000A635E" w:rsidRDefault="00BC1BF1" w:rsidP="00C75E3F">
      <w:pPr>
        <w:ind w:firstLine="709"/>
        <w:jc w:val="both"/>
        <w:rPr>
          <w:rFonts w:eastAsiaTheme="minorEastAsia"/>
          <w:sz w:val="24"/>
          <w:szCs w:val="21"/>
        </w:rPr>
      </w:pPr>
      <w:r w:rsidRPr="000A635E">
        <w:rPr>
          <w:rFonts w:eastAsiaTheme="minorEastAsia"/>
          <w:sz w:val="24"/>
          <w:szCs w:val="21"/>
        </w:rPr>
        <w:t>В структуре общей заболеваемости взрослого населения в г.</w:t>
      </w:r>
      <w:r w:rsidR="00495474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 xml:space="preserve">Нефтеюганске первое место занимают </w:t>
      </w:r>
      <w:r w:rsidR="00DF2D55" w:rsidRPr="000A635E">
        <w:rPr>
          <w:rFonts w:eastAsiaTheme="minorEastAsia"/>
          <w:sz w:val="24"/>
          <w:szCs w:val="21"/>
        </w:rPr>
        <w:t xml:space="preserve">болезни костно-мышечной </w:t>
      </w:r>
      <w:r w:rsidR="002A0CD2" w:rsidRPr="000A635E">
        <w:rPr>
          <w:rFonts w:eastAsiaTheme="minorEastAsia"/>
          <w:sz w:val="24"/>
          <w:szCs w:val="21"/>
        </w:rPr>
        <w:t>болезни</w:t>
      </w:r>
      <w:r w:rsidR="00DF2D55" w:rsidRPr="00DF2D55">
        <w:rPr>
          <w:rFonts w:eastAsiaTheme="minorEastAsia"/>
          <w:sz w:val="24"/>
          <w:szCs w:val="21"/>
        </w:rPr>
        <w:t xml:space="preserve"> </w:t>
      </w:r>
      <w:r w:rsidR="00DF2D55" w:rsidRPr="000A635E">
        <w:rPr>
          <w:rFonts w:eastAsiaTheme="minorEastAsia"/>
          <w:sz w:val="24"/>
          <w:szCs w:val="21"/>
        </w:rPr>
        <w:t>системы</w:t>
      </w:r>
      <w:r w:rsidR="002A0CD2" w:rsidRPr="000A635E">
        <w:rPr>
          <w:rFonts w:eastAsiaTheme="minorEastAsia"/>
          <w:sz w:val="24"/>
          <w:szCs w:val="21"/>
        </w:rPr>
        <w:t xml:space="preserve"> </w:t>
      </w:r>
      <w:r w:rsidR="00C07318">
        <w:rPr>
          <w:rFonts w:eastAsiaTheme="minorEastAsia"/>
          <w:sz w:val="24"/>
          <w:szCs w:val="21"/>
        </w:rPr>
        <w:t>(16,15</w:t>
      </w:r>
      <w:r w:rsidR="002A0CD2" w:rsidRPr="000A635E">
        <w:rPr>
          <w:rFonts w:eastAsiaTheme="minorEastAsia"/>
          <w:sz w:val="24"/>
          <w:szCs w:val="21"/>
        </w:rPr>
        <w:t xml:space="preserve">% - </w:t>
      </w:r>
      <w:r w:rsidR="00C07318">
        <w:rPr>
          <w:rFonts w:eastAsiaTheme="minorEastAsia"/>
          <w:sz w:val="24"/>
          <w:szCs w:val="21"/>
        </w:rPr>
        <w:t>207,8</w:t>
      </w:r>
      <w:r w:rsidR="002A0CD2" w:rsidRPr="000A635E">
        <w:rPr>
          <w:rFonts w:eastAsiaTheme="minorEastAsia"/>
          <w:sz w:val="24"/>
          <w:szCs w:val="21"/>
        </w:rPr>
        <w:t xml:space="preserve"> случая на 1000 населения); далее –</w:t>
      </w:r>
      <w:r w:rsidR="006E56BD" w:rsidRPr="000A635E">
        <w:rPr>
          <w:rFonts w:eastAsiaTheme="minorEastAsia"/>
          <w:sz w:val="24"/>
          <w:szCs w:val="21"/>
        </w:rPr>
        <w:t xml:space="preserve"> </w:t>
      </w:r>
      <w:r w:rsidR="00C07318" w:rsidRPr="000A635E">
        <w:rPr>
          <w:rFonts w:eastAsiaTheme="minorEastAsia"/>
          <w:sz w:val="24"/>
          <w:szCs w:val="21"/>
        </w:rPr>
        <w:t xml:space="preserve">болезни органов дыхания </w:t>
      </w:r>
      <w:r w:rsidRPr="000A635E">
        <w:rPr>
          <w:rFonts w:eastAsiaTheme="minorEastAsia"/>
          <w:sz w:val="24"/>
          <w:szCs w:val="21"/>
        </w:rPr>
        <w:t>(</w:t>
      </w:r>
      <w:r w:rsidR="00C07318">
        <w:rPr>
          <w:rFonts w:eastAsiaTheme="minorEastAsia"/>
          <w:sz w:val="24"/>
          <w:szCs w:val="21"/>
        </w:rPr>
        <w:t>12,9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C07318">
        <w:rPr>
          <w:rFonts w:eastAsiaTheme="minorEastAsia"/>
          <w:sz w:val="24"/>
          <w:szCs w:val="21"/>
        </w:rPr>
        <w:t>169,8</w:t>
      </w:r>
      <w:r w:rsidRPr="000A635E">
        <w:rPr>
          <w:rFonts w:eastAsiaTheme="minorEastAsia"/>
          <w:sz w:val="24"/>
          <w:szCs w:val="21"/>
        </w:rPr>
        <w:t xml:space="preserve"> случ</w:t>
      </w:r>
      <w:r w:rsidR="001D5BDA" w:rsidRPr="000A635E">
        <w:rPr>
          <w:rFonts w:eastAsiaTheme="minorEastAsia"/>
          <w:sz w:val="24"/>
          <w:szCs w:val="21"/>
        </w:rPr>
        <w:t>а</w:t>
      </w:r>
      <w:r w:rsidR="00C07318">
        <w:rPr>
          <w:rFonts w:eastAsiaTheme="minorEastAsia"/>
          <w:sz w:val="24"/>
          <w:szCs w:val="21"/>
        </w:rPr>
        <w:t>я</w:t>
      </w:r>
      <w:r w:rsidRPr="000A635E">
        <w:rPr>
          <w:rFonts w:eastAsiaTheme="minorEastAsia"/>
          <w:sz w:val="24"/>
          <w:szCs w:val="21"/>
        </w:rPr>
        <w:t xml:space="preserve"> на 1000 населения)</w:t>
      </w:r>
      <w:r w:rsidR="002A0CD2" w:rsidRPr="000A635E">
        <w:rPr>
          <w:rFonts w:eastAsiaTheme="minorEastAsia"/>
          <w:sz w:val="24"/>
          <w:szCs w:val="21"/>
        </w:rPr>
        <w:t>,</w:t>
      </w:r>
      <w:r w:rsidR="006E56BD" w:rsidRPr="000A635E">
        <w:rPr>
          <w:rFonts w:eastAsiaTheme="minorEastAsia"/>
          <w:sz w:val="24"/>
          <w:szCs w:val="21"/>
        </w:rPr>
        <w:t xml:space="preserve"> болезни </w:t>
      </w:r>
      <w:r w:rsidR="00C07318" w:rsidRPr="000A635E">
        <w:rPr>
          <w:rFonts w:eastAsiaTheme="minorEastAsia"/>
          <w:sz w:val="24"/>
          <w:szCs w:val="21"/>
        </w:rPr>
        <w:t xml:space="preserve">органов кровообращения </w:t>
      </w:r>
      <w:r w:rsidRPr="000A635E">
        <w:rPr>
          <w:rFonts w:eastAsiaTheme="minorEastAsia"/>
          <w:sz w:val="24"/>
          <w:szCs w:val="21"/>
        </w:rPr>
        <w:t>(</w:t>
      </w:r>
      <w:r w:rsidR="00C07318">
        <w:rPr>
          <w:rFonts w:eastAsiaTheme="minorEastAsia"/>
          <w:sz w:val="24"/>
          <w:szCs w:val="21"/>
        </w:rPr>
        <w:t>13,2</w:t>
      </w:r>
      <w:r w:rsidRPr="000A635E">
        <w:rPr>
          <w:rFonts w:eastAsiaTheme="minorEastAsia"/>
          <w:sz w:val="24"/>
          <w:szCs w:val="21"/>
        </w:rPr>
        <w:t xml:space="preserve">% - </w:t>
      </w:r>
      <w:r w:rsidR="00C07318">
        <w:rPr>
          <w:rFonts w:eastAsiaTheme="minorEastAsia"/>
          <w:sz w:val="24"/>
          <w:szCs w:val="21"/>
        </w:rPr>
        <w:t>165,4</w:t>
      </w:r>
      <w:r w:rsidR="006E56BD" w:rsidRPr="000A635E">
        <w:rPr>
          <w:rFonts w:eastAsiaTheme="minorEastAsia"/>
          <w:sz w:val="24"/>
          <w:szCs w:val="21"/>
        </w:rPr>
        <w:t xml:space="preserve"> </w:t>
      </w:r>
      <w:r w:rsidRPr="000A635E">
        <w:rPr>
          <w:rFonts w:eastAsiaTheme="minorEastAsia"/>
          <w:sz w:val="24"/>
          <w:szCs w:val="21"/>
        </w:rPr>
        <w:t>случая на 1000 населения)</w:t>
      </w:r>
      <w:r w:rsidR="002A0CD2" w:rsidRPr="000A635E">
        <w:rPr>
          <w:rFonts w:eastAsiaTheme="minorEastAsia"/>
          <w:sz w:val="24"/>
          <w:szCs w:val="21"/>
        </w:rPr>
        <w:t>.</w:t>
      </w:r>
    </w:p>
    <w:p w:rsidR="00BE1110" w:rsidRPr="000A635E" w:rsidRDefault="00BE1110" w:rsidP="00C036E9">
      <w:pPr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Первое место в группе лидирующих заболеваний занимают болезни органов дыхания, а в их структуре в целом и по возрастным группам лидируют такие виды патологии, как: острые респираторные инфекции верхних дыхательных путей, </w:t>
      </w:r>
      <w:r w:rsidR="00D3445F" w:rsidRPr="000A635E">
        <w:rPr>
          <w:rFonts w:eastAsiaTheme="minorEastAsia"/>
          <w:sz w:val="24"/>
          <w:szCs w:val="24"/>
        </w:rPr>
        <w:t>астма и астматический статус</w:t>
      </w:r>
      <w:r w:rsidRPr="000A635E">
        <w:rPr>
          <w:rFonts w:eastAsiaTheme="minorEastAsia"/>
          <w:sz w:val="24"/>
          <w:szCs w:val="24"/>
        </w:rPr>
        <w:t xml:space="preserve">. Причиной этому, вероятно, послужило неблагоприятное воздействие таких факторов окружающей среды, </w:t>
      </w:r>
      <w:r w:rsidR="00C65197" w:rsidRPr="000A635E">
        <w:rPr>
          <w:rFonts w:eastAsiaTheme="minorEastAsia"/>
          <w:sz w:val="24"/>
          <w:szCs w:val="24"/>
        </w:rPr>
        <w:t xml:space="preserve">как </w:t>
      </w:r>
      <w:r w:rsidRPr="000A635E">
        <w:rPr>
          <w:rFonts w:eastAsiaTheme="minorEastAsia"/>
          <w:sz w:val="24"/>
          <w:szCs w:val="24"/>
        </w:rPr>
        <w:t xml:space="preserve">климатические условия,  атмосферный воздух, воздух рабочей зоны, микроклимат помещений. Первое ранговое место в структуре заболеваемости с ВУТ занимают также болезни органов дыхания. </w:t>
      </w:r>
    </w:p>
    <w:p w:rsidR="00BE1110" w:rsidRPr="000A635E" w:rsidRDefault="00BE1110" w:rsidP="00C036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факторов высокого уровня заболеваемости по  классам: болезни системы пищеварения, мочеполовой системы, болезни кожи и пр.</w:t>
      </w:r>
    </w:p>
    <w:p w:rsidR="00BE1110" w:rsidRPr="000A635E" w:rsidRDefault="00BE1110" w:rsidP="00C036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Сложившаяся ситуация с состоянием и качеством питания населения города Нефтеюганска, с учетом влияния факторов внешней среды и наследственности, определяет рост алиментарно-зависимых заболеваний и болезней органов пищеварения (БОП) среди  населения города. </w:t>
      </w:r>
    </w:p>
    <w:p w:rsidR="00BE1110" w:rsidRPr="000A635E" w:rsidRDefault="00BE1110" w:rsidP="00C036E9">
      <w:pPr>
        <w:autoSpaceDE w:val="0"/>
        <w:autoSpaceDN w:val="0"/>
        <w:ind w:firstLineChars="354" w:firstLine="85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 xml:space="preserve">В связи со снижением потребления населением полноценных животных белков, </w:t>
      </w:r>
      <w:r w:rsidR="005F180E">
        <w:rPr>
          <w:rFonts w:eastAsiaTheme="minorEastAsia"/>
          <w:sz w:val="24"/>
          <w:szCs w:val="24"/>
        </w:rPr>
        <w:t>а,</w:t>
      </w:r>
      <w:r w:rsidRPr="000A635E">
        <w:rPr>
          <w:rFonts w:eastAsiaTheme="minorEastAsia"/>
          <w:sz w:val="24"/>
          <w:szCs w:val="24"/>
        </w:rPr>
        <w:t xml:space="preserve"> </w:t>
      </w:r>
      <w:r w:rsidR="005F180E" w:rsidRPr="000A635E">
        <w:rPr>
          <w:rFonts w:eastAsiaTheme="minorEastAsia"/>
          <w:sz w:val="24"/>
          <w:szCs w:val="24"/>
        </w:rPr>
        <w:t>следовательно,</w:t>
      </w:r>
      <w:r w:rsidRPr="000A635E">
        <w:rPr>
          <w:rFonts w:eastAsiaTheme="minorEastAsia"/>
          <w:sz w:val="24"/>
          <w:szCs w:val="24"/>
        </w:rPr>
        <w:t xml:space="preserve"> и незаменимых аминокислот, избыточное потребление углеводов, в том числе сахара и други</w:t>
      </w:r>
      <w:r w:rsidR="00C65197" w:rsidRPr="000A635E">
        <w:rPr>
          <w:rFonts w:eastAsiaTheme="minorEastAsia"/>
          <w:sz w:val="24"/>
          <w:szCs w:val="24"/>
        </w:rPr>
        <w:t>е</w:t>
      </w:r>
      <w:r w:rsidRPr="000A635E">
        <w:rPr>
          <w:rFonts w:eastAsiaTheme="minorEastAsia"/>
          <w:sz w:val="24"/>
          <w:szCs w:val="24"/>
        </w:rPr>
        <w:t xml:space="preserve"> погрешности питания, отмечается неуклонный рост числа алиментарно-зависимых заболеваний и болезней органов пищеварения среди населения города. В 201</w:t>
      </w:r>
      <w:r w:rsidR="00C07318">
        <w:rPr>
          <w:rFonts w:eastAsiaTheme="minorEastAsia"/>
          <w:sz w:val="24"/>
          <w:szCs w:val="24"/>
        </w:rPr>
        <w:t xml:space="preserve">9 </w:t>
      </w:r>
      <w:r w:rsidRPr="000A635E">
        <w:rPr>
          <w:rFonts w:eastAsiaTheme="minorEastAsia"/>
          <w:sz w:val="24"/>
          <w:szCs w:val="24"/>
        </w:rPr>
        <w:t>году,</w:t>
      </w:r>
      <w:r w:rsidR="00C07318">
        <w:rPr>
          <w:rFonts w:eastAsiaTheme="minorEastAsia"/>
          <w:sz w:val="24"/>
          <w:szCs w:val="24"/>
        </w:rPr>
        <w:t xml:space="preserve"> </w:t>
      </w:r>
      <w:r w:rsidRPr="000A635E">
        <w:rPr>
          <w:rFonts w:eastAsiaTheme="minorEastAsia"/>
          <w:sz w:val="24"/>
          <w:szCs w:val="24"/>
        </w:rPr>
        <w:t>как и в 201</w:t>
      </w:r>
      <w:r w:rsidR="00C07318">
        <w:rPr>
          <w:rFonts w:eastAsiaTheme="minorEastAsia"/>
          <w:sz w:val="24"/>
          <w:szCs w:val="24"/>
        </w:rPr>
        <w:t>8</w:t>
      </w:r>
      <w:r w:rsidRPr="000A635E">
        <w:rPr>
          <w:rFonts w:eastAsiaTheme="minorEastAsia"/>
          <w:sz w:val="24"/>
          <w:szCs w:val="24"/>
        </w:rPr>
        <w:t>, показатель заболеваемости по классу болезни эндокринной системы, нарушения питания и нарушения обмена веществ остается высоким</w:t>
      </w:r>
      <w:r w:rsidR="00C65197" w:rsidRPr="000A635E">
        <w:rPr>
          <w:rFonts w:eastAsiaTheme="minorEastAsia"/>
          <w:sz w:val="24"/>
          <w:szCs w:val="24"/>
        </w:rPr>
        <w:t>.</w:t>
      </w:r>
    </w:p>
    <w:p w:rsidR="00BE1110" w:rsidRPr="00097BEB" w:rsidRDefault="00BE1110" w:rsidP="00C036E9">
      <w:pPr>
        <w:tabs>
          <w:tab w:val="left" w:pos="8364"/>
        </w:tabs>
        <w:autoSpaceDE w:val="0"/>
        <w:autoSpaceDN w:val="0"/>
        <w:jc w:val="both"/>
        <w:rPr>
          <w:rFonts w:eastAsiaTheme="minorEastAsia"/>
          <w:sz w:val="24"/>
          <w:szCs w:val="24"/>
        </w:rPr>
      </w:pPr>
      <w:r w:rsidRPr="000A635E">
        <w:rPr>
          <w:rFonts w:eastAsiaTheme="minorEastAsia"/>
          <w:sz w:val="24"/>
          <w:szCs w:val="24"/>
        </w:rPr>
        <w:t>На протяжении всего наблюдаемого периода ведущее место у взрослых принадлежит сахарному диабету</w:t>
      </w:r>
      <w:r w:rsidR="00C07318">
        <w:rPr>
          <w:rFonts w:eastAsiaTheme="minorEastAsia"/>
          <w:sz w:val="24"/>
          <w:szCs w:val="24"/>
        </w:rPr>
        <w:t xml:space="preserve"> 2 типа</w:t>
      </w:r>
      <w:r w:rsidRPr="000A635E">
        <w:rPr>
          <w:rFonts w:eastAsiaTheme="minorEastAsia"/>
          <w:sz w:val="24"/>
          <w:szCs w:val="24"/>
        </w:rPr>
        <w:t>, показатель заболеваемости которым  имеет тенденцию к прогрессированию.</w:t>
      </w:r>
    </w:p>
    <w:p w:rsidR="00BE1110" w:rsidRDefault="00BE1110" w:rsidP="00C036E9">
      <w:pPr>
        <w:ind w:firstLineChars="709" w:firstLine="15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06BAC">
        <w:rPr>
          <w:b/>
          <w:sz w:val="24"/>
          <w:szCs w:val="24"/>
        </w:rPr>
        <w:t>Состояние  здоровья детского населения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06BAC">
        <w:rPr>
          <w:sz w:val="24"/>
          <w:szCs w:val="24"/>
        </w:rPr>
        <w:t>Таблица 14</w:t>
      </w:r>
    </w:p>
    <w:p w:rsidR="00306BAC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75E3F">
        <w:rPr>
          <w:b/>
          <w:bCs/>
          <w:sz w:val="22"/>
          <w:szCs w:val="22"/>
        </w:rPr>
        <w:t xml:space="preserve">По результатам углубленного осмотра  школьников г. Нефтеюганска имеются следующие показатели от числа осмотренных </w:t>
      </w:r>
      <w:proofErr w:type="gramStart"/>
      <w:r w:rsidRPr="00C75E3F">
        <w:rPr>
          <w:b/>
          <w:bCs/>
          <w:sz w:val="22"/>
          <w:szCs w:val="22"/>
        </w:rPr>
        <w:t>в</w:t>
      </w:r>
      <w:proofErr w:type="gramEnd"/>
      <w:r w:rsidRPr="00C75E3F">
        <w:rPr>
          <w:b/>
          <w:bCs/>
          <w:sz w:val="22"/>
          <w:szCs w:val="22"/>
        </w:rPr>
        <w:t xml:space="preserve">  (%)</w:t>
      </w:r>
    </w:p>
    <w:p w:rsidR="00C75E3F" w:rsidRPr="00C75E3F" w:rsidRDefault="00C75E3F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0" w:type="auto"/>
        <w:tblInd w:w="216" w:type="dxa"/>
        <w:tblLayout w:type="fixed"/>
        <w:tblLook w:val="0000" w:firstRow="0" w:lastRow="0" w:firstColumn="0" w:lastColumn="0" w:noHBand="0" w:noVBand="0"/>
      </w:tblPr>
      <w:tblGrid>
        <w:gridCol w:w="2837"/>
        <w:gridCol w:w="1746"/>
        <w:gridCol w:w="1847"/>
        <w:gridCol w:w="2598"/>
      </w:tblGrid>
      <w:tr w:rsidR="00306BAC" w:rsidRPr="00306BAC" w:rsidTr="00447B30">
        <w:trPr>
          <w:trHeight w:val="260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201</w:t>
            </w:r>
            <w:r w:rsidRPr="00C75E3F">
              <w:rPr>
                <w:sz w:val="22"/>
                <w:szCs w:val="22"/>
              </w:rPr>
              <w:t>7</w:t>
            </w:r>
            <w:r w:rsidRPr="00C75E3F">
              <w:rPr>
                <w:sz w:val="22"/>
                <w:szCs w:val="22"/>
                <w:lang w:val="en-US"/>
              </w:rPr>
              <w:t xml:space="preserve"> </w:t>
            </w:r>
            <w:r w:rsidRPr="00C75E3F">
              <w:rPr>
                <w:sz w:val="22"/>
                <w:szCs w:val="22"/>
              </w:rPr>
              <w:t>г.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201</w:t>
            </w:r>
            <w:r w:rsidRPr="00C75E3F">
              <w:rPr>
                <w:sz w:val="22"/>
                <w:szCs w:val="22"/>
              </w:rPr>
              <w:t>8г.</w:t>
            </w:r>
          </w:p>
        </w:tc>
        <w:tc>
          <w:tcPr>
            <w:tcW w:w="2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2019 г.</w:t>
            </w:r>
          </w:p>
        </w:tc>
      </w:tr>
      <w:tr w:rsidR="00306BAC" w:rsidRPr="00306BAC" w:rsidTr="00447B30">
        <w:trPr>
          <w:trHeight w:val="260"/>
        </w:trPr>
        <w:tc>
          <w:tcPr>
            <w:tcW w:w="90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Группы здоровья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8,7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9,3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71,2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80,3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80,8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III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9,5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8,5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IV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0,4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  <w:lang w:val="en-US"/>
              </w:rPr>
              <w:t>V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1,1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1,4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Гиперсомия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17,0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17,1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Гипосомия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6,1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7,8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8,3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Нормосомия</w:t>
            </w:r>
            <w:proofErr w:type="spellEnd"/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78,7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75,2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74,6</w:t>
            </w:r>
          </w:p>
        </w:tc>
      </w:tr>
      <w:tr w:rsidR="00306BAC" w:rsidRPr="00306BAC" w:rsidTr="00447B30">
        <w:trPr>
          <w:trHeight w:val="260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Отставание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</w:tr>
      <w:tr w:rsidR="00306BAC" w:rsidRPr="00306BAC" w:rsidTr="00447B30">
        <w:trPr>
          <w:trHeight w:val="260"/>
        </w:trPr>
        <w:tc>
          <w:tcPr>
            <w:tcW w:w="9028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Выявленная патология</w:t>
            </w:r>
          </w:p>
        </w:tc>
      </w:tr>
      <w:tr w:rsidR="00306BAC" w:rsidRPr="00306BAC" w:rsidTr="00447B30">
        <w:trPr>
          <w:trHeight w:val="283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lastRenderedPageBreak/>
              <w:t>Нарушение осанки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5,9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6,6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5,3</w:t>
            </w:r>
          </w:p>
        </w:tc>
      </w:tr>
      <w:tr w:rsidR="00306BAC" w:rsidRPr="00306BAC" w:rsidTr="00447B30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Сколиоз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2,3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2,8</w:t>
            </w:r>
          </w:p>
        </w:tc>
      </w:tr>
      <w:tr w:rsidR="00306BAC" w:rsidRPr="00306BAC" w:rsidTr="00447B30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Снижение остроты  слуха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0,2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0,2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0,2</w:t>
            </w:r>
          </w:p>
        </w:tc>
      </w:tr>
      <w:tr w:rsidR="00306BAC" w:rsidRPr="00306BAC" w:rsidTr="00447B30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Снижение остроты  зрения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34,6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37,5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39,9</w:t>
            </w:r>
          </w:p>
        </w:tc>
      </w:tr>
      <w:tr w:rsidR="00306BAC" w:rsidRPr="00306BAC" w:rsidTr="00447B30">
        <w:trPr>
          <w:trHeight w:val="282"/>
        </w:trPr>
        <w:tc>
          <w:tcPr>
            <w:tcW w:w="28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Нарушение речи</w:t>
            </w:r>
          </w:p>
        </w:tc>
        <w:tc>
          <w:tcPr>
            <w:tcW w:w="17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5,7</w:t>
            </w:r>
          </w:p>
        </w:tc>
        <w:tc>
          <w:tcPr>
            <w:tcW w:w="1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6,0</w:t>
            </w:r>
          </w:p>
        </w:tc>
        <w:tc>
          <w:tcPr>
            <w:tcW w:w="259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6,8</w:t>
            </w:r>
          </w:p>
        </w:tc>
      </w:tr>
    </w:tbl>
    <w:p w:rsidR="00306BAC" w:rsidRPr="00306BAC" w:rsidRDefault="00306BAC" w:rsidP="00306BA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6BAC">
        <w:rPr>
          <w:sz w:val="24"/>
          <w:szCs w:val="24"/>
        </w:rPr>
        <w:t xml:space="preserve">По результатам углубленного осмотра школьников отмечается  увеличение числа детей относящихся к   </w:t>
      </w:r>
      <w:r w:rsidRPr="00306BAC">
        <w:rPr>
          <w:sz w:val="24"/>
          <w:szCs w:val="24"/>
          <w:lang w:val="en-US"/>
        </w:rPr>
        <w:t>I</w:t>
      </w:r>
      <w:r w:rsidRPr="00306BAC">
        <w:rPr>
          <w:sz w:val="24"/>
          <w:szCs w:val="24"/>
        </w:rPr>
        <w:t xml:space="preserve">, </w:t>
      </w:r>
      <w:r w:rsidRPr="00306BAC">
        <w:rPr>
          <w:sz w:val="24"/>
          <w:szCs w:val="24"/>
          <w:lang w:val="en-US"/>
        </w:rPr>
        <w:t>II</w:t>
      </w:r>
      <w:r w:rsidRPr="00306BAC">
        <w:rPr>
          <w:sz w:val="24"/>
          <w:szCs w:val="24"/>
        </w:rPr>
        <w:t xml:space="preserve">,  </w:t>
      </w:r>
      <w:r w:rsidRPr="00306BAC">
        <w:rPr>
          <w:sz w:val="24"/>
          <w:szCs w:val="24"/>
          <w:lang w:val="en-US"/>
        </w:rPr>
        <w:t>V</w:t>
      </w:r>
      <w:r w:rsidRPr="00306BAC">
        <w:rPr>
          <w:sz w:val="24"/>
          <w:szCs w:val="24"/>
        </w:rPr>
        <w:t xml:space="preserve"> группе здоровья, уменьшение  числа детей, относящихся к  </w:t>
      </w:r>
      <w:r w:rsidRPr="00306BAC">
        <w:rPr>
          <w:sz w:val="24"/>
          <w:szCs w:val="24"/>
          <w:lang w:val="en-US"/>
        </w:rPr>
        <w:t>III</w:t>
      </w:r>
      <w:r w:rsidRPr="00306BAC">
        <w:rPr>
          <w:sz w:val="24"/>
          <w:szCs w:val="24"/>
        </w:rPr>
        <w:t xml:space="preserve">, </w:t>
      </w:r>
      <w:r w:rsidRPr="00306BAC">
        <w:rPr>
          <w:sz w:val="24"/>
          <w:szCs w:val="24"/>
          <w:lang w:val="en-US"/>
        </w:rPr>
        <w:t>IV</w:t>
      </w:r>
      <w:r w:rsidRPr="00306BAC">
        <w:rPr>
          <w:sz w:val="24"/>
          <w:szCs w:val="24"/>
        </w:rPr>
        <w:t xml:space="preserve"> группе здоровья.  (Рис.7).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6BAC">
        <w:rPr>
          <w:sz w:val="24"/>
          <w:szCs w:val="24"/>
        </w:rPr>
        <w:t>В  2019 году увеличилось  число детей  и подростков  со снижением остроты зрения, сколиозом и с нарушением речи.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3C4E862" wp14:editId="5413B484">
            <wp:extent cx="6116320" cy="1647825"/>
            <wp:effectExtent l="0" t="0" r="0" b="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06BAC" w:rsidRPr="00306BAC" w:rsidRDefault="00306BAC" w:rsidP="00306BAC">
      <w:pPr>
        <w:widowControl w:val="0"/>
        <w:tabs>
          <w:tab w:val="left" w:pos="3828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306BAC">
        <w:rPr>
          <w:sz w:val="24"/>
          <w:szCs w:val="24"/>
        </w:rPr>
        <w:t xml:space="preserve">Рис.7.  Распределение школьников по группам здоровья в </w:t>
      </w:r>
      <w:proofErr w:type="spellStart"/>
      <w:r w:rsidRPr="00306BAC">
        <w:rPr>
          <w:sz w:val="24"/>
          <w:szCs w:val="24"/>
        </w:rPr>
        <w:t>г</w:t>
      </w:r>
      <w:proofErr w:type="gramStart"/>
      <w:r w:rsidRPr="00306BAC">
        <w:rPr>
          <w:sz w:val="24"/>
          <w:szCs w:val="24"/>
        </w:rPr>
        <w:t>.Н</w:t>
      </w:r>
      <w:proofErr w:type="gramEnd"/>
      <w:r w:rsidRPr="00306BAC">
        <w:rPr>
          <w:sz w:val="24"/>
          <w:szCs w:val="24"/>
        </w:rPr>
        <w:t>ефтеюганске</w:t>
      </w:r>
      <w:proofErr w:type="spellEnd"/>
      <w:r w:rsidRPr="00306BAC">
        <w:rPr>
          <w:sz w:val="24"/>
          <w:szCs w:val="24"/>
        </w:rPr>
        <w:t xml:space="preserve"> за 2019г.</w:t>
      </w:r>
    </w:p>
    <w:p w:rsidR="00306BAC" w:rsidRPr="00306BAC" w:rsidRDefault="00306BAC" w:rsidP="00306BAC">
      <w:pPr>
        <w:widowControl w:val="0"/>
        <w:tabs>
          <w:tab w:val="left" w:pos="3828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06BAC">
        <w:rPr>
          <w:sz w:val="24"/>
          <w:szCs w:val="24"/>
        </w:rPr>
        <w:t>Таблица 15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306BAC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75E3F">
        <w:rPr>
          <w:b/>
          <w:bCs/>
          <w:sz w:val="22"/>
          <w:szCs w:val="22"/>
        </w:rPr>
        <w:t>Заболеваемость школьников  в 2019 г. на 1000  в сравнении с предыдущими годами</w:t>
      </w:r>
    </w:p>
    <w:p w:rsidR="00C75E3F" w:rsidRPr="00C75E3F" w:rsidRDefault="00C75E3F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384"/>
        <w:gridCol w:w="851"/>
        <w:gridCol w:w="851"/>
        <w:gridCol w:w="884"/>
        <w:gridCol w:w="818"/>
        <w:gridCol w:w="851"/>
        <w:gridCol w:w="882"/>
        <w:gridCol w:w="820"/>
        <w:gridCol w:w="850"/>
        <w:gridCol w:w="1023"/>
      </w:tblGrid>
      <w:tr w:rsidR="00306BAC" w:rsidRPr="00306BAC" w:rsidTr="00447B30">
        <w:trPr>
          <w:trHeight w:val="420"/>
        </w:trPr>
        <w:tc>
          <w:tcPr>
            <w:tcW w:w="13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bCs/>
                <w:sz w:val="22"/>
                <w:szCs w:val="22"/>
              </w:rPr>
              <w:t>Выявленная патология</w:t>
            </w:r>
          </w:p>
        </w:tc>
        <w:tc>
          <w:tcPr>
            <w:tcW w:w="2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bCs/>
                <w:sz w:val="22"/>
                <w:szCs w:val="22"/>
                <w:lang w:val="en-US"/>
              </w:rPr>
              <w:t>201</w:t>
            </w:r>
            <w:r w:rsidRPr="00C75E3F">
              <w:rPr>
                <w:bCs/>
                <w:sz w:val="22"/>
                <w:szCs w:val="22"/>
              </w:rPr>
              <w:t>7</w:t>
            </w:r>
            <w:r w:rsidRPr="00C75E3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C75E3F"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255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bCs/>
                <w:sz w:val="22"/>
                <w:szCs w:val="22"/>
                <w:lang w:val="en-US"/>
              </w:rPr>
              <w:t>201</w:t>
            </w:r>
            <w:r w:rsidRPr="00C75E3F">
              <w:rPr>
                <w:bCs/>
                <w:sz w:val="22"/>
                <w:szCs w:val="22"/>
              </w:rPr>
              <w:t>8</w:t>
            </w:r>
            <w:r w:rsidRPr="00C75E3F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C75E3F"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2019 г.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 детей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Абс</w:t>
            </w:r>
            <w:proofErr w:type="gramStart"/>
            <w:r w:rsidRPr="00C75E3F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Пок</w:t>
            </w:r>
            <w:proofErr w:type="spellEnd"/>
            <w:r w:rsidRPr="00C75E3F">
              <w:rPr>
                <w:sz w:val="22"/>
                <w:szCs w:val="22"/>
              </w:rPr>
              <w:t>-ль на 1000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 детей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Абс</w:t>
            </w:r>
            <w:proofErr w:type="gramStart"/>
            <w:r w:rsidRPr="00C75E3F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Пок</w:t>
            </w:r>
            <w:proofErr w:type="spellEnd"/>
            <w:r w:rsidRPr="00C75E3F">
              <w:rPr>
                <w:sz w:val="22"/>
                <w:szCs w:val="22"/>
              </w:rPr>
              <w:t>-ль на 1000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 детей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Абс</w:t>
            </w:r>
            <w:proofErr w:type="gramStart"/>
            <w:r w:rsidRPr="00C75E3F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Пок</w:t>
            </w:r>
            <w:proofErr w:type="spellEnd"/>
            <w:r w:rsidRPr="00C75E3F">
              <w:rPr>
                <w:sz w:val="22"/>
                <w:szCs w:val="22"/>
              </w:rPr>
              <w:t>-ль на 1000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 больных, из них: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15244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15244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1316,0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14939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16321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1093,0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15021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16427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1093,6</w:t>
            </w:r>
          </w:p>
        </w:tc>
      </w:tr>
      <w:tr w:rsidR="00306BAC" w:rsidRPr="00306BAC" w:rsidTr="00447B30">
        <w:trPr>
          <w:trHeight w:val="819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28" w:firstLine="54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 заболеванием органов дыхания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6330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431,7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6421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429,8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7568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503,8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Заболевание желудочно-кишечного тракта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309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21,1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312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508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33,8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Заболевание почек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284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19,4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253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16,9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16,7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C75E3F">
              <w:rPr>
                <w:sz w:val="22"/>
                <w:szCs w:val="22"/>
              </w:rPr>
              <w:t>Заболев</w:t>
            </w:r>
            <w:proofErr w:type="gramStart"/>
            <w:r w:rsidRPr="00C75E3F">
              <w:rPr>
                <w:sz w:val="22"/>
                <w:szCs w:val="22"/>
              </w:rPr>
              <w:t>.с</w:t>
            </w:r>
            <w:proofErr w:type="gramEnd"/>
            <w:r w:rsidRPr="00C75E3F">
              <w:rPr>
                <w:sz w:val="22"/>
                <w:szCs w:val="22"/>
              </w:rPr>
              <w:t>ердеч</w:t>
            </w:r>
            <w:proofErr w:type="spellEnd"/>
            <w:r w:rsidRPr="00C75E3F">
              <w:rPr>
                <w:sz w:val="22"/>
                <w:szCs w:val="22"/>
              </w:rPr>
              <w:t>-</w:t>
            </w:r>
            <w:proofErr w:type="spellStart"/>
            <w:r w:rsidRPr="00C75E3F">
              <w:rPr>
                <w:sz w:val="22"/>
                <w:szCs w:val="22"/>
              </w:rPr>
              <w:t>сосудис.сис</w:t>
            </w:r>
            <w:proofErr w:type="spellEnd"/>
            <w:r w:rsidRPr="00C75E3F">
              <w:rPr>
                <w:sz w:val="22"/>
                <w:szCs w:val="22"/>
              </w:rPr>
              <w:t>-мы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140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9,4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313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20,8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Заболевания крови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0,3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0,4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lastRenderedPageBreak/>
              <w:t>Заболевания кожи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267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271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18,1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324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21,7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Пневмония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58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4,0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248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16,6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11,7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Заболевание уха, горла, носа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297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312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20,8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287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19,1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Психиатрические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54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3,7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48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3,1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Неврологические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246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18,0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16,7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305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20,3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Хирургические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26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1,8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2,5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Заболевания глаза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871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59,4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989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66,2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745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49,6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Стоматологом осмотрено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12360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84,3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13522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90,5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13864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92,3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Подлежат санации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5737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39,1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5989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40,1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5542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39,9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Санировано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5430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96,4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5733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95,7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5322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96,0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Фтизиатрические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357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299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20,0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15,9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Урологические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326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22,2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354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23,6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331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22,0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Эндокринные заболевания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386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26,3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405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27,1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623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41,5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Описторхоз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0,2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0,2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0,3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Дифиллоботриоз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</w:tr>
      <w:tr w:rsidR="00306BAC" w:rsidRPr="00306BAC" w:rsidTr="00447B30">
        <w:trPr>
          <w:trHeight w:val="1"/>
        </w:trPr>
        <w:tc>
          <w:tcPr>
            <w:tcW w:w="1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Травмы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1796</w:t>
            </w:r>
          </w:p>
        </w:tc>
        <w:tc>
          <w:tcPr>
            <w:tcW w:w="8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122,5</w:t>
            </w:r>
          </w:p>
        </w:tc>
        <w:tc>
          <w:tcPr>
            <w:tcW w:w="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1831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122,6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1964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130,7</w:t>
            </w:r>
          </w:p>
        </w:tc>
      </w:tr>
    </w:tbl>
    <w:p w:rsidR="00306BAC" w:rsidRPr="00306BAC" w:rsidRDefault="00306BAC" w:rsidP="00306BAC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306BAC">
        <w:rPr>
          <w:b/>
          <w:bCs/>
          <w:sz w:val="24"/>
          <w:szCs w:val="24"/>
          <w:lang w:val="en-US"/>
        </w:rPr>
        <w:tab/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06BAC">
        <w:rPr>
          <w:sz w:val="24"/>
          <w:szCs w:val="24"/>
        </w:rPr>
        <w:t>Показатель заболеваемости школьников по сравнению с предыдущим годом  остался на прежнем уровне. В 2019 году отмечается рост болезней органов дыхания, за счет увеличения числа острых инфекций верхних дыхательных путей. Число острых пневмони</w:t>
      </w:r>
      <w:r w:rsidR="00952164">
        <w:rPr>
          <w:sz w:val="24"/>
          <w:szCs w:val="24"/>
        </w:rPr>
        <w:t xml:space="preserve">й снизилось. Увеличилось число </w:t>
      </w:r>
      <w:r w:rsidRPr="00306BAC">
        <w:rPr>
          <w:sz w:val="24"/>
          <w:szCs w:val="24"/>
        </w:rPr>
        <w:t>случаев заболеваний эндокринными болезнями (с 27,1 % до 41,5%), неврологическими заболеваниями (с 16,7% до 20,3%), заболеваниями кожи (с 18,1% до 21,7%), ЖКТ (с 20,8% до 33,8%), сердечно-сос</w:t>
      </w:r>
      <w:r w:rsidR="00952164">
        <w:rPr>
          <w:sz w:val="24"/>
          <w:szCs w:val="24"/>
        </w:rPr>
        <w:t xml:space="preserve">удистыми заболеваниями (с 9,4% </w:t>
      </w:r>
      <w:r w:rsidRPr="00306BAC">
        <w:rPr>
          <w:sz w:val="24"/>
          <w:szCs w:val="24"/>
        </w:rPr>
        <w:t>до 20,8%), заболеваниями органов дыхания (</w:t>
      </w:r>
      <w:proofErr w:type="gramStart"/>
      <w:r w:rsidRPr="00306BAC">
        <w:rPr>
          <w:sz w:val="24"/>
          <w:szCs w:val="24"/>
        </w:rPr>
        <w:t>с</w:t>
      </w:r>
      <w:proofErr w:type="gramEnd"/>
      <w:r w:rsidRPr="00306BAC">
        <w:rPr>
          <w:sz w:val="24"/>
          <w:szCs w:val="24"/>
        </w:rPr>
        <w:t xml:space="preserve"> 429,8%  до 503,8%). Увеличился % охвата осмотра детей врачом стоматологом. 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06BAC">
        <w:rPr>
          <w:sz w:val="24"/>
          <w:szCs w:val="24"/>
        </w:rPr>
        <w:t>Таблица 16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06BAC">
        <w:rPr>
          <w:b/>
          <w:bCs/>
          <w:sz w:val="24"/>
          <w:szCs w:val="24"/>
        </w:rPr>
        <w:t>Результаты углублённого осмотра  и заболеваемость подростков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306BAC">
        <w:rPr>
          <w:b/>
          <w:bCs/>
          <w:sz w:val="24"/>
          <w:szCs w:val="24"/>
        </w:rPr>
        <w:t xml:space="preserve"> за отчётный период  на 1000 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77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10"/>
        <w:gridCol w:w="831"/>
        <w:gridCol w:w="831"/>
        <w:gridCol w:w="903"/>
        <w:gridCol w:w="761"/>
        <w:gridCol w:w="832"/>
        <w:gridCol w:w="962"/>
        <w:gridCol w:w="702"/>
        <w:gridCol w:w="709"/>
        <w:gridCol w:w="1137"/>
      </w:tblGrid>
      <w:tr w:rsidR="00306BAC" w:rsidRPr="00306BAC" w:rsidTr="00447B30">
        <w:trPr>
          <w:trHeight w:val="1"/>
        </w:trPr>
        <w:tc>
          <w:tcPr>
            <w:tcW w:w="2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06BAC">
              <w:rPr>
                <w:bCs/>
                <w:sz w:val="24"/>
                <w:szCs w:val="24"/>
              </w:rPr>
              <w:t>Выявленная патология</w:t>
            </w:r>
          </w:p>
        </w:tc>
        <w:tc>
          <w:tcPr>
            <w:tcW w:w="2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06BAC">
              <w:rPr>
                <w:bCs/>
                <w:sz w:val="24"/>
                <w:szCs w:val="24"/>
                <w:lang w:val="en-US"/>
              </w:rPr>
              <w:t>201</w:t>
            </w:r>
            <w:r w:rsidRPr="00306BAC">
              <w:rPr>
                <w:bCs/>
                <w:sz w:val="24"/>
                <w:szCs w:val="24"/>
              </w:rPr>
              <w:t>7год</w:t>
            </w:r>
          </w:p>
        </w:tc>
        <w:tc>
          <w:tcPr>
            <w:tcW w:w="25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306BAC">
              <w:rPr>
                <w:bCs/>
                <w:sz w:val="24"/>
                <w:szCs w:val="24"/>
                <w:lang w:val="en-US"/>
              </w:rPr>
              <w:t>201</w:t>
            </w:r>
            <w:r w:rsidRPr="00306BAC">
              <w:rPr>
                <w:bCs/>
                <w:sz w:val="24"/>
                <w:szCs w:val="24"/>
              </w:rPr>
              <w:t>8год</w:t>
            </w:r>
          </w:p>
        </w:tc>
        <w:tc>
          <w:tcPr>
            <w:tcW w:w="25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2019 год</w:t>
            </w:r>
          </w:p>
        </w:tc>
      </w:tr>
      <w:tr w:rsidR="00306BAC" w:rsidRPr="00306BAC" w:rsidTr="00447B30">
        <w:trPr>
          <w:trHeight w:val="639"/>
        </w:trPr>
        <w:tc>
          <w:tcPr>
            <w:tcW w:w="2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Всего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06BAC">
              <w:rPr>
                <w:sz w:val="24"/>
                <w:szCs w:val="24"/>
              </w:rPr>
              <w:t>Абс</w:t>
            </w:r>
            <w:proofErr w:type="spellEnd"/>
            <w:r w:rsidRPr="00306BAC">
              <w:rPr>
                <w:sz w:val="24"/>
                <w:szCs w:val="24"/>
              </w:rPr>
              <w:t>. ч.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06BAC">
              <w:rPr>
                <w:sz w:val="24"/>
                <w:szCs w:val="24"/>
              </w:rPr>
              <w:t>Пок</w:t>
            </w:r>
            <w:proofErr w:type="spellEnd"/>
            <w:r w:rsidRPr="00306BAC">
              <w:rPr>
                <w:sz w:val="24"/>
                <w:szCs w:val="24"/>
              </w:rPr>
              <w:t xml:space="preserve">-ль на </w:t>
            </w:r>
            <w:r w:rsidRPr="00306BAC">
              <w:rPr>
                <w:sz w:val="24"/>
                <w:szCs w:val="24"/>
              </w:rPr>
              <w:lastRenderedPageBreak/>
              <w:t>1000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06BAC">
              <w:rPr>
                <w:sz w:val="24"/>
                <w:szCs w:val="24"/>
              </w:rPr>
              <w:t>Абс</w:t>
            </w:r>
            <w:proofErr w:type="spellEnd"/>
            <w:r w:rsidRPr="00306BAC">
              <w:rPr>
                <w:sz w:val="24"/>
                <w:szCs w:val="24"/>
              </w:rPr>
              <w:t>. ч.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06BAC">
              <w:rPr>
                <w:sz w:val="24"/>
                <w:szCs w:val="24"/>
              </w:rPr>
              <w:t>Пок</w:t>
            </w:r>
            <w:proofErr w:type="spellEnd"/>
            <w:r w:rsidRPr="00306BAC">
              <w:rPr>
                <w:sz w:val="24"/>
                <w:szCs w:val="24"/>
              </w:rPr>
              <w:t xml:space="preserve">-ль на </w:t>
            </w:r>
            <w:r w:rsidRPr="00306BAC">
              <w:rPr>
                <w:sz w:val="24"/>
                <w:szCs w:val="24"/>
              </w:rPr>
              <w:lastRenderedPageBreak/>
              <w:t>1000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06BAC">
              <w:rPr>
                <w:sz w:val="24"/>
                <w:szCs w:val="24"/>
              </w:rPr>
              <w:t>Абс</w:t>
            </w:r>
            <w:proofErr w:type="spellEnd"/>
            <w:r w:rsidRPr="00306BAC">
              <w:rPr>
                <w:sz w:val="24"/>
                <w:szCs w:val="24"/>
              </w:rPr>
              <w:t>. ч.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06BAC">
              <w:rPr>
                <w:sz w:val="24"/>
                <w:szCs w:val="24"/>
              </w:rPr>
              <w:t>Пок</w:t>
            </w:r>
            <w:proofErr w:type="spellEnd"/>
            <w:r w:rsidRPr="00306BAC">
              <w:rPr>
                <w:sz w:val="24"/>
                <w:szCs w:val="24"/>
              </w:rPr>
              <w:t>-ль на 1000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lastRenderedPageBreak/>
              <w:t xml:space="preserve">Снижение остроты зрения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1570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555,2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3078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1289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418.7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2804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1503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536.0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Нарушение осанки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182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59.1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192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68.5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Сколиоз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54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19,1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195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63.3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239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85.2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Плоскостопие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125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44,2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520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168.9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641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228.6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Снижение остроты слуха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2.9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1.1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Не достаточное питание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340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120,2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216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70.1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308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109.8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Ожирение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236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93,0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204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66.2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250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89.1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Инфекционные болезни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1,8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93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30.2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33.2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 xml:space="preserve">Болезни эндокринной системы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1177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416,2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38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12.3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13.5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Болезни крови и кроветворных органов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58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20,5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123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39.9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112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40.0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Психиатрические расстройства и наркомания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51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18,0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48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15.5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83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29.6</w:t>
            </w:r>
          </w:p>
        </w:tc>
      </w:tr>
      <w:tr w:rsidR="00306BAC" w:rsidRPr="00306BAC" w:rsidTr="00447B30">
        <w:trPr>
          <w:trHeight w:val="593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Болезни органов дыхания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159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56,2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29.8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35.0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Болезни органов пищеварения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272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96,2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113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36.7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118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42.0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Травмы и отравления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-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401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130.2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412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147.0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Описторхоз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2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0.6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Дифиллоботриоз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0</w:t>
            </w:r>
          </w:p>
        </w:tc>
      </w:tr>
      <w:tr w:rsidR="00306BAC" w:rsidRPr="00306BAC" w:rsidTr="00447B30">
        <w:trPr>
          <w:trHeight w:val="1"/>
        </w:trPr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306BAC">
              <w:rPr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4383</w:t>
            </w:r>
          </w:p>
        </w:tc>
        <w:tc>
          <w:tcPr>
            <w:tcW w:w="9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1549,8</w:t>
            </w:r>
          </w:p>
        </w:tc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3525</w:t>
            </w:r>
          </w:p>
        </w:tc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4090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306BAC" w:rsidRDefault="00306BAC" w:rsidP="00306B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06BAC">
              <w:rPr>
                <w:sz w:val="24"/>
                <w:szCs w:val="24"/>
              </w:rPr>
              <w:t>1458.6</w:t>
            </w:r>
          </w:p>
        </w:tc>
      </w:tr>
    </w:tbl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6BAC">
        <w:rPr>
          <w:sz w:val="24"/>
          <w:szCs w:val="24"/>
        </w:rPr>
        <w:t xml:space="preserve">Среди выявленной патологии отмечается увеличение  роста  нарушение осанки (с 0% до 68.5%),   снижение остроты зрения  (с 41.8%  до 53.6%), сколиоз  (с 63.3% до 85,2%),  плоскостопие (с 16.8% до 22.8%), инфекционные болезни (с 30.2 % до 33.2%), болезни крови и кроветворных органов (с  39.9% до 40.0%), психиатрические расстройства (с 15.5% до 29.6%), болезни органов дыхания </w:t>
      </w:r>
      <w:proofErr w:type="gramStart"/>
      <w:r w:rsidRPr="00306BAC">
        <w:rPr>
          <w:sz w:val="24"/>
          <w:szCs w:val="24"/>
        </w:rPr>
        <w:t xml:space="preserve">( </w:t>
      </w:r>
      <w:proofErr w:type="gramEnd"/>
      <w:r w:rsidRPr="00306BAC">
        <w:rPr>
          <w:sz w:val="24"/>
          <w:szCs w:val="24"/>
        </w:rPr>
        <w:t xml:space="preserve">с 29.8% до 35.0%), болезни органов пищеварения ( с 36.7% до 42.0%), травмы и отравления  (с 13.0% до 14.7%), болезни эндокринной системы </w:t>
      </w:r>
      <w:proofErr w:type="gramStart"/>
      <w:r w:rsidRPr="00306BAC">
        <w:rPr>
          <w:sz w:val="24"/>
          <w:szCs w:val="24"/>
        </w:rPr>
        <w:t xml:space="preserve">( </w:t>
      </w:r>
      <w:proofErr w:type="gramEnd"/>
      <w:r w:rsidRPr="00306BAC">
        <w:rPr>
          <w:sz w:val="24"/>
          <w:szCs w:val="24"/>
        </w:rPr>
        <w:t xml:space="preserve">с 12.3% до 13.5%) .            </w:t>
      </w:r>
    </w:p>
    <w:p w:rsidR="00952164" w:rsidRDefault="00952164" w:rsidP="00306B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306BAC">
        <w:rPr>
          <w:sz w:val="24"/>
          <w:szCs w:val="24"/>
        </w:rPr>
        <w:t>Таблица 17</w:t>
      </w:r>
    </w:p>
    <w:p w:rsidR="00306BAC" w:rsidRPr="00C75E3F" w:rsidRDefault="00306BAC" w:rsidP="00306BAC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75E3F">
        <w:rPr>
          <w:b/>
          <w:bCs/>
          <w:sz w:val="22"/>
          <w:szCs w:val="22"/>
        </w:rPr>
        <w:t>Заболеваемость детей ДОУ в 2019 г. на 1000 детей в сравнении с предыдущими годами</w:t>
      </w:r>
    </w:p>
    <w:tbl>
      <w:tblPr>
        <w:tblW w:w="4779" w:type="pct"/>
        <w:tblLayout w:type="fixed"/>
        <w:tblLook w:val="0000" w:firstRow="0" w:lastRow="0" w:firstColumn="0" w:lastColumn="0" w:noHBand="0" w:noVBand="0"/>
      </w:tblPr>
      <w:tblGrid>
        <w:gridCol w:w="2137"/>
        <w:gridCol w:w="699"/>
        <w:gridCol w:w="705"/>
        <w:gridCol w:w="675"/>
        <w:gridCol w:w="536"/>
        <w:gridCol w:w="902"/>
        <w:gridCol w:w="694"/>
        <w:gridCol w:w="668"/>
        <w:gridCol w:w="721"/>
        <w:gridCol w:w="1140"/>
      </w:tblGrid>
      <w:tr w:rsidR="00306BAC" w:rsidRPr="00306BAC" w:rsidTr="00952164">
        <w:trPr>
          <w:trHeight w:val="274"/>
        </w:trPr>
        <w:tc>
          <w:tcPr>
            <w:tcW w:w="120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jc w:val="center"/>
              <w:rPr>
                <w:sz w:val="22"/>
                <w:szCs w:val="22"/>
              </w:rPr>
            </w:pPr>
            <w:r w:rsidRPr="00C75E3F">
              <w:rPr>
                <w:bCs/>
                <w:sz w:val="22"/>
                <w:szCs w:val="22"/>
              </w:rPr>
              <w:t>Выявленная патология</w:t>
            </w:r>
          </w:p>
        </w:tc>
        <w:tc>
          <w:tcPr>
            <w:tcW w:w="117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  <w:r w:rsidRPr="00C75E3F">
              <w:rPr>
                <w:bCs/>
                <w:sz w:val="22"/>
                <w:szCs w:val="22"/>
              </w:rPr>
              <w:t xml:space="preserve">        2017год</w:t>
            </w:r>
          </w:p>
        </w:tc>
        <w:tc>
          <w:tcPr>
            <w:tcW w:w="120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bCs/>
                <w:sz w:val="22"/>
                <w:szCs w:val="22"/>
                <w:lang w:val="en-US"/>
              </w:rPr>
              <w:t>201</w:t>
            </w:r>
            <w:r w:rsidRPr="00C75E3F">
              <w:rPr>
                <w:bCs/>
                <w:sz w:val="22"/>
                <w:szCs w:val="22"/>
              </w:rPr>
              <w:t>8год</w:t>
            </w:r>
          </w:p>
        </w:tc>
        <w:tc>
          <w:tcPr>
            <w:tcW w:w="142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2019 год</w:t>
            </w:r>
          </w:p>
        </w:tc>
      </w:tr>
      <w:tr w:rsidR="00306BAC" w:rsidRPr="00306BAC" w:rsidTr="00447B30">
        <w:trPr>
          <w:trHeight w:val="145"/>
        </w:trPr>
        <w:tc>
          <w:tcPr>
            <w:tcW w:w="120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</w:t>
            </w: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Абс</w:t>
            </w:r>
            <w:proofErr w:type="gramStart"/>
            <w:r w:rsidRPr="00C75E3F">
              <w:rPr>
                <w:sz w:val="22"/>
                <w:szCs w:val="22"/>
              </w:rPr>
              <w:t>.ч</w:t>
            </w:r>
            <w:proofErr w:type="spellEnd"/>
            <w:proofErr w:type="gramEnd"/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Пок</w:t>
            </w:r>
            <w:proofErr w:type="spellEnd"/>
            <w:r w:rsidRPr="00C75E3F">
              <w:rPr>
                <w:sz w:val="22"/>
                <w:szCs w:val="22"/>
              </w:rPr>
              <w:t>-ль на 1000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Абс</w:t>
            </w:r>
            <w:proofErr w:type="spellEnd"/>
            <w:r w:rsidRPr="00C75E3F">
              <w:rPr>
                <w:sz w:val="22"/>
                <w:szCs w:val="22"/>
              </w:rPr>
              <w:t>. ч.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Пок</w:t>
            </w:r>
            <w:proofErr w:type="spellEnd"/>
            <w:r w:rsidRPr="00C75E3F">
              <w:rPr>
                <w:sz w:val="22"/>
                <w:szCs w:val="22"/>
              </w:rPr>
              <w:t>-ль на 1000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Абс</w:t>
            </w:r>
            <w:proofErr w:type="spellEnd"/>
            <w:r w:rsidRPr="00C75E3F">
              <w:rPr>
                <w:sz w:val="22"/>
                <w:szCs w:val="22"/>
              </w:rPr>
              <w:t>. ч.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C75E3F">
              <w:rPr>
                <w:sz w:val="22"/>
                <w:szCs w:val="22"/>
              </w:rPr>
              <w:t>Пок</w:t>
            </w:r>
            <w:proofErr w:type="spellEnd"/>
            <w:r w:rsidRPr="00C75E3F">
              <w:rPr>
                <w:sz w:val="22"/>
                <w:szCs w:val="22"/>
              </w:rPr>
              <w:t>-ль на 1000</w:t>
            </w:r>
          </w:p>
        </w:tc>
      </w:tr>
      <w:tr w:rsidR="00306BAC" w:rsidRPr="00306BAC" w:rsidTr="00447B30">
        <w:trPr>
          <w:trHeight w:val="497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 xml:space="preserve">Снижение остроты зрения 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945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132,1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972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134,8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892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125.2</w:t>
            </w:r>
          </w:p>
        </w:tc>
      </w:tr>
      <w:tr w:rsidR="00306BAC" w:rsidRPr="00306BAC" w:rsidTr="00447B30">
        <w:trPr>
          <w:trHeight w:val="256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Нарушение осанки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82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11,5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0,69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15.7</w:t>
            </w:r>
          </w:p>
        </w:tc>
      </w:tr>
      <w:tr w:rsidR="00306BAC" w:rsidRPr="00306BAC" w:rsidTr="00447B30">
        <w:trPr>
          <w:trHeight w:val="256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lastRenderedPageBreak/>
              <w:t>Сколиоз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0,14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0.1</w:t>
            </w:r>
          </w:p>
        </w:tc>
      </w:tr>
      <w:tr w:rsidR="00306BAC" w:rsidRPr="00306BAC" w:rsidTr="00447B30">
        <w:trPr>
          <w:trHeight w:val="317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Плоскостопие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</w:tr>
      <w:tr w:rsidR="00306BAC" w:rsidRPr="00306BAC" w:rsidTr="00447B30">
        <w:trPr>
          <w:trHeight w:val="512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Снижение остроты слуха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9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1,3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1,6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0.3</w:t>
            </w:r>
          </w:p>
        </w:tc>
      </w:tr>
      <w:tr w:rsidR="00306BAC" w:rsidRPr="00306BAC" w:rsidTr="00447B30">
        <w:trPr>
          <w:trHeight w:val="315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Не достаточное питание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228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31,9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235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32,6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221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31.0</w:t>
            </w:r>
          </w:p>
        </w:tc>
      </w:tr>
      <w:tr w:rsidR="00306BAC" w:rsidRPr="00306BAC" w:rsidTr="00447B30">
        <w:trPr>
          <w:trHeight w:val="241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Ожирение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117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16,4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17,3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129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18.1</w:t>
            </w:r>
          </w:p>
        </w:tc>
      </w:tr>
      <w:tr w:rsidR="00306BAC" w:rsidRPr="00306BAC" w:rsidTr="00447B30">
        <w:trPr>
          <w:trHeight w:val="302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1014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141,8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722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100,1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813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114.1</w:t>
            </w:r>
          </w:p>
        </w:tc>
      </w:tr>
      <w:tr w:rsidR="00306BAC" w:rsidRPr="00306BAC" w:rsidTr="00447B30">
        <w:trPr>
          <w:trHeight w:val="512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 xml:space="preserve">Болезни эндокринной системы 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2,8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3,2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2.9</w:t>
            </w:r>
          </w:p>
        </w:tc>
      </w:tr>
      <w:tr w:rsidR="00306BAC" w:rsidRPr="00306BAC" w:rsidTr="00447B30">
        <w:trPr>
          <w:trHeight w:val="497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Болезни крови и кроветворных органов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0,7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0,4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0.4</w:t>
            </w:r>
          </w:p>
        </w:tc>
      </w:tr>
      <w:tr w:rsidR="00306BAC" w:rsidRPr="00306BAC" w:rsidTr="00447B30">
        <w:trPr>
          <w:trHeight w:val="768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Психиатрические расстройства и наркомания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0,1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</w:tr>
      <w:tr w:rsidR="00306BAC" w:rsidRPr="00306BAC" w:rsidTr="00447B30">
        <w:trPr>
          <w:trHeight w:val="522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Болезни органов дыхания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8567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1198,2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10115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1403,5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10235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1437.5</w:t>
            </w:r>
          </w:p>
        </w:tc>
      </w:tr>
      <w:tr w:rsidR="00306BAC" w:rsidRPr="00306BAC" w:rsidTr="00447B30">
        <w:trPr>
          <w:trHeight w:val="512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Болезни органов пищеварения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175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24,5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185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25,7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178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25.0</w:t>
            </w:r>
          </w:p>
        </w:tc>
      </w:tr>
      <w:tr w:rsidR="00306BAC" w:rsidRPr="00306BAC" w:rsidTr="00447B30">
        <w:trPr>
          <w:trHeight w:val="307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Травмы и отравления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291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403,8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273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38.3</w:t>
            </w:r>
          </w:p>
        </w:tc>
      </w:tr>
      <w:tr w:rsidR="00306BAC" w:rsidRPr="00306BAC" w:rsidTr="00447B30">
        <w:trPr>
          <w:trHeight w:val="256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Описторхоз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0,3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0,1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0.1</w:t>
            </w:r>
          </w:p>
        </w:tc>
      </w:tr>
      <w:tr w:rsidR="00306BAC" w:rsidRPr="00306BAC" w:rsidTr="00447B30">
        <w:trPr>
          <w:trHeight w:val="256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Дифиллоботриоз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0</w:t>
            </w:r>
          </w:p>
        </w:tc>
      </w:tr>
      <w:tr w:rsidR="00306BAC" w:rsidRPr="00306BAC" w:rsidTr="00447B30">
        <w:trPr>
          <w:trHeight w:val="265"/>
        </w:trPr>
        <w:tc>
          <w:tcPr>
            <w:tcW w:w="12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29"/>
              <w:rPr>
                <w:sz w:val="22"/>
                <w:szCs w:val="22"/>
                <w:lang w:val="en-US"/>
              </w:rPr>
            </w:pPr>
            <w:r w:rsidRPr="00C75E3F">
              <w:rPr>
                <w:sz w:val="22"/>
                <w:szCs w:val="22"/>
              </w:rPr>
              <w:t>ИТОГО:</w:t>
            </w:r>
          </w:p>
        </w:tc>
        <w:tc>
          <w:tcPr>
            <w:tcW w:w="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8118</w:t>
            </w:r>
          </w:p>
        </w:tc>
        <w:tc>
          <w:tcPr>
            <w:tcW w:w="3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11795</w:t>
            </w:r>
          </w:p>
        </w:tc>
        <w:tc>
          <w:tcPr>
            <w:tcW w:w="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1649,6</w:t>
            </w:r>
          </w:p>
        </w:tc>
        <w:tc>
          <w:tcPr>
            <w:tcW w:w="3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7207</w:t>
            </w:r>
          </w:p>
        </w:tc>
        <w:tc>
          <w:tcPr>
            <w:tcW w:w="5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15064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2090,2</w:t>
            </w:r>
          </w:p>
        </w:tc>
        <w:tc>
          <w:tcPr>
            <w:tcW w:w="3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12881</w:t>
            </w:r>
          </w:p>
        </w:tc>
        <w:tc>
          <w:tcPr>
            <w:tcW w:w="6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06BAC" w:rsidRPr="00C75E3F" w:rsidRDefault="00306BAC" w:rsidP="00306BAC">
            <w:pPr>
              <w:widowControl w:val="0"/>
              <w:autoSpaceDE w:val="0"/>
              <w:autoSpaceDN w:val="0"/>
              <w:adjustRightInd w:val="0"/>
              <w:ind w:left="-142"/>
              <w:jc w:val="center"/>
              <w:rPr>
                <w:sz w:val="22"/>
                <w:szCs w:val="22"/>
              </w:rPr>
            </w:pPr>
            <w:r w:rsidRPr="00C75E3F">
              <w:rPr>
                <w:sz w:val="22"/>
                <w:szCs w:val="22"/>
              </w:rPr>
              <w:t>1809.1</w:t>
            </w:r>
          </w:p>
        </w:tc>
      </w:tr>
    </w:tbl>
    <w:p w:rsidR="00306BAC" w:rsidRPr="00306BAC" w:rsidRDefault="00306BAC" w:rsidP="00306BAC">
      <w:pPr>
        <w:widowControl w:val="0"/>
        <w:autoSpaceDE w:val="0"/>
        <w:autoSpaceDN w:val="0"/>
        <w:adjustRightInd w:val="0"/>
        <w:ind w:left="20" w:right="56" w:firstLine="700"/>
        <w:jc w:val="both"/>
        <w:rPr>
          <w:bCs/>
          <w:sz w:val="24"/>
          <w:szCs w:val="24"/>
          <w:highlight w:val="yellow"/>
        </w:rPr>
      </w:pPr>
      <w:r w:rsidRPr="00306BAC">
        <w:rPr>
          <w:sz w:val="24"/>
          <w:szCs w:val="24"/>
        </w:rPr>
        <w:t xml:space="preserve">Среди выявленной патологии: отмечается рост патологии нарушение осанки (с 0.69% до 15,7%), с избыточной массой тела (с 17,3% до 18,1%),  заболеваний органов дыхании </w:t>
      </w:r>
      <w:proofErr w:type="gramStart"/>
      <w:r w:rsidRPr="00306BAC">
        <w:rPr>
          <w:sz w:val="24"/>
          <w:szCs w:val="24"/>
        </w:rPr>
        <w:t xml:space="preserve">( </w:t>
      </w:r>
      <w:proofErr w:type="gramEnd"/>
      <w:r w:rsidRPr="00306BAC">
        <w:rPr>
          <w:sz w:val="24"/>
          <w:szCs w:val="24"/>
        </w:rPr>
        <w:t>с 1403,5% до 1437.5 %), инфекционные болезни (с 100.1% до 114.1%).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306BAC">
        <w:rPr>
          <w:bCs/>
          <w:sz w:val="24"/>
          <w:szCs w:val="24"/>
        </w:rPr>
        <w:t>Эффективность оздоровления детей в сравнении с предыдущими годами: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6BAC">
        <w:rPr>
          <w:sz w:val="24"/>
          <w:szCs w:val="24"/>
        </w:rPr>
        <w:t xml:space="preserve">Всего в 2019  году оздоровлено, всего 1186- 42,3 % из них: 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6BAC">
        <w:rPr>
          <w:sz w:val="24"/>
          <w:szCs w:val="24"/>
        </w:rPr>
        <w:t>1.Восстановительное лечение – 731 человек;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6BAC">
        <w:rPr>
          <w:sz w:val="24"/>
          <w:szCs w:val="24"/>
        </w:rPr>
        <w:t>2.Плановое лечение – 51 человек (оперировано-49);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6BAC">
        <w:rPr>
          <w:sz w:val="24"/>
          <w:szCs w:val="24"/>
        </w:rPr>
        <w:t>3.Санаторно-курортное лечение – 19 человек;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306BAC">
        <w:rPr>
          <w:sz w:val="24"/>
          <w:szCs w:val="24"/>
        </w:rPr>
        <w:t>4.Стационарное лечение – 385 человек (из них юношей-173 чел).</w:t>
      </w:r>
    </w:p>
    <w:p w:rsidR="00306BAC" w:rsidRPr="00306BAC" w:rsidRDefault="00306BAC" w:rsidP="00306BA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06BAC" w:rsidRPr="00306BAC" w:rsidRDefault="00306BAC" w:rsidP="00306BAC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sz w:val="24"/>
          <w:szCs w:val="24"/>
        </w:rPr>
      </w:pPr>
      <w:r w:rsidRPr="00306BAC">
        <w:rPr>
          <w:b/>
          <w:bCs/>
          <w:sz w:val="24"/>
          <w:szCs w:val="24"/>
        </w:rPr>
        <w:t>Выводы:</w:t>
      </w:r>
    </w:p>
    <w:p w:rsidR="00306BAC" w:rsidRPr="00C9785F" w:rsidRDefault="00C9785F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85F">
        <w:rPr>
          <w:sz w:val="24"/>
          <w:szCs w:val="24"/>
        </w:rPr>
        <w:t>1</w:t>
      </w:r>
      <w:r w:rsidR="00306BAC" w:rsidRPr="00C9785F">
        <w:rPr>
          <w:sz w:val="24"/>
          <w:szCs w:val="24"/>
        </w:rPr>
        <w:t>. Показатель заболеваемости школьников по сравнению с предыдущим годом  остался на прежнем уровне. В 2019 году отмечается рост болезней органов дыхания, за счет увеличения числа острых инфекций верхних дыхательных путей. Число острых пневмоний снизилось. Увеличилось число  случаев заболеваний эндокринными болезнями (с 27,1 % до 41,5%), неврологическими заболеваниями (с 16,7% до 20,3%), заболеваниями кожи (с 18,1% до 21,7%), ЖКТ (с 20,8% до 33,8%), сердечно-сосудистыми заболеваниями (с 9,4%  до 20,8%), заболеваниями органов дыхания (</w:t>
      </w:r>
      <w:proofErr w:type="gramStart"/>
      <w:r w:rsidR="00306BAC" w:rsidRPr="00C9785F">
        <w:rPr>
          <w:sz w:val="24"/>
          <w:szCs w:val="24"/>
        </w:rPr>
        <w:t>с</w:t>
      </w:r>
      <w:proofErr w:type="gramEnd"/>
      <w:r w:rsidR="00306BAC" w:rsidRPr="00C9785F">
        <w:rPr>
          <w:sz w:val="24"/>
          <w:szCs w:val="24"/>
        </w:rPr>
        <w:t xml:space="preserve"> 429,8%  до 503,8%). Увеличился % охвата осмотра детей врачом стоматологом. </w:t>
      </w:r>
    </w:p>
    <w:p w:rsidR="00306BAC" w:rsidRPr="00C9785F" w:rsidRDefault="00C9785F" w:rsidP="00306BAC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9785F">
        <w:rPr>
          <w:sz w:val="24"/>
          <w:szCs w:val="24"/>
        </w:rPr>
        <w:t>2</w:t>
      </w:r>
      <w:r w:rsidR="00306BAC" w:rsidRPr="00C9785F">
        <w:rPr>
          <w:sz w:val="24"/>
          <w:szCs w:val="24"/>
        </w:rPr>
        <w:t xml:space="preserve">. </w:t>
      </w:r>
      <w:proofErr w:type="gramStart"/>
      <w:r w:rsidR="00306BAC" w:rsidRPr="00C9785F">
        <w:rPr>
          <w:sz w:val="24"/>
          <w:szCs w:val="24"/>
        </w:rPr>
        <w:t xml:space="preserve">Показатель заболеваемости подростков по сравнению с предыдущим годом  среди выявленной патологии отмечается увеличение  роста  нарушение осанки (с 0% до 68.5%),   снижение остроты зрения  (с 41.8%  до 53.6%), сколиоз  (с 63.3% до 85,2%),  плоскостопие (с 16.8% до 22.8%), инфекционные болезни (с 30.2 % до 33.2%), болезни </w:t>
      </w:r>
      <w:r w:rsidR="00306BAC" w:rsidRPr="00C9785F">
        <w:rPr>
          <w:sz w:val="24"/>
          <w:szCs w:val="24"/>
        </w:rPr>
        <w:lastRenderedPageBreak/>
        <w:t>крови и кроветворных органов (с  39.9% до 40.0%), психиатрические расстройства (с 15.5% до 29.6%), болезни органов</w:t>
      </w:r>
      <w:proofErr w:type="gramEnd"/>
      <w:r w:rsidR="00306BAC" w:rsidRPr="00C9785F">
        <w:rPr>
          <w:sz w:val="24"/>
          <w:szCs w:val="24"/>
        </w:rPr>
        <w:t xml:space="preserve"> дыхания </w:t>
      </w:r>
      <w:proofErr w:type="gramStart"/>
      <w:r w:rsidR="00306BAC" w:rsidRPr="00C9785F">
        <w:rPr>
          <w:sz w:val="24"/>
          <w:szCs w:val="24"/>
        </w:rPr>
        <w:t xml:space="preserve">( </w:t>
      </w:r>
      <w:proofErr w:type="gramEnd"/>
      <w:r w:rsidR="00306BAC" w:rsidRPr="00C9785F">
        <w:rPr>
          <w:sz w:val="24"/>
          <w:szCs w:val="24"/>
        </w:rPr>
        <w:t xml:space="preserve">с 29.8% до 35.0%), болезни органов пищеварения ( с 36.7% до 42.0%), травмы и отравления  (с 13.0% до 14.7%), болезни эндокринной системы ( с 12.3% до 13.5%) .            </w:t>
      </w:r>
    </w:p>
    <w:p w:rsidR="00306BAC" w:rsidRPr="00C9785F" w:rsidRDefault="00C9785F" w:rsidP="00306BAC">
      <w:pPr>
        <w:widowControl w:val="0"/>
        <w:autoSpaceDE w:val="0"/>
        <w:autoSpaceDN w:val="0"/>
        <w:adjustRightInd w:val="0"/>
        <w:ind w:right="56" w:firstLine="567"/>
        <w:jc w:val="both"/>
        <w:rPr>
          <w:bCs/>
          <w:sz w:val="24"/>
          <w:szCs w:val="24"/>
        </w:rPr>
      </w:pPr>
      <w:r w:rsidRPr="00C9785F">
        <w:rPr>
          <w:sz w:val="24"/>
          <w:szCs w:val="24"/>
        </w:rPr>
        <w:t xml:space="preserve"> 3</w:t>
      </w:r>
      <w:r w:rsidR="00306BAC" w:rsidRPr="00C9785F">
        <w:rPr>
          <w:sz w:val="24"/>
          <w:szCs w:val="24"/>
        </w:rPr>
        <w:t xml:space="preserve">. Показатель заболеваемости в ДОУ по сравнению с предыдущим годом  Среди выявленной патологии: отмечается рост патологии нарушение осанки (с 0.69% до 15,7%), с избыточной массой тела (с 17,3% до 18,1%),  заболеваний органов дыхании </w:t>
      </w:r>
      <w:proofErr w:type="gramStart"/>
      <w:r w:rsidR="00306BAC" w:rsidRPr="00C9785F">
        <w:rPr>
          <w:sz w:val="24"/>
          <w:szCs w:val="24"/>
        </w:rPr>
        <w:t xml:space="preserve">( </w:t>
      </w:r>
      <w:proofErr w:type="gramEnd"/>
      <w:r w:rsidR="00306BAC" w:rsidRPr="00C9785F">
        <w:rPr>
          <w:sz w:val="24"/>
          <w:szCs w:val="24"/>
        </w:rPr>
        <w:t>с 1403,5% до 1437.5 %), инфекционные болезни (с 100.1% до 114.1%).</w:t>
      </w:r>
    </w:p>
    <w:p w:rsidR="00306BAC" w:rsidRPr="00097BEB" w:rsidRDefault="00306BAC" w:rsidP="00C036E9">
      <w:pPr>
        <w:ind w:firstLineChars="709" w:firstLine="1560"/>
        <w:jc w:val="both"/>
        <w:rPr>
          <w:rFonts w:asciiTheme="minorHAnsi" w:eastAsiaTheme="minorEastAsia" w:hAnsiTheme="minorHAnsi" w:cstheme="minorBidi"/>
          <w:sz w:val="22"/>
          <w:szCs w:val="22"/>
        </w:rPr>
      </w:pPr>
    </w:p>
    <w:sectPr w:rsidR="00306BAC" w:rsidRPr="00097BEB" w:rsidSect="0020415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418" w:right="1418" w:bottom="1418" w:left="1418" w:header="964" w:footer="964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F91" w:rsidRDefault="00504F91" w:rsidP="00AE43F0">
      <w:r>
        <w:separator/>
      </w:r>
    </w:p>
  </w:endnote>
  <w:endnote w:type="continuationSeparator" w:id="0">
    <w:p w:rsidR="00504F91" w:rsidRDefault="00504F91" w:rsidP="00AE4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294718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204156" w:rsidRDefault="0020415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</w:t>
        </w:r>
        <w:r>
          <w:fldChar w:fldCharType="end"/>
        </w:r>
      </w:p>
    </w:sdtContent>
  </w:sdt>
  <w:p w:rsidR="00BF4558" w:rsidRDefault="00BF455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F91" w:rsidRDefault="00504F91" w:rsidP="00AE43F0">
      <w:r>
        <w:separator/>
      </w:r>
    </w:p>
  </w:footnote>
  <w:footnote w:type="continuationSeparator" w:id="0">
    <w:p w:rsidR="00504F91" w:rsidRDefault="00504F91" w:rsidP="00AE43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558" w:rsidRDefault="00BF45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1B3"/>
    <w:multiLevelType w:val="multilevel"/>
    <w:tmpl w:val="D618D0B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FE5EA8"/>
    <w:multiLevelType w:val="multilevel"/>
    <w:tmpl w:val="1A8E07E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">
    <w:nsid w:val="05001028"/>
    <w:multiLevelType w:val="hybridMultilevel"/>
    <w:tmpl w:val="F398C1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041419"/>
    <w:multiLevelType w:val="hybridMultilevel"/>
    <w:tmpl w:val="86DE9A8E"/>
    <w:lvl w:ilvl="0" w:tplc="0419000F">
      <w:start w:val="1"/>
      <w:numFmt w:val="decimal"/>
      <w:lvlText w:val="%1."/>
      <w:lvlJc w:val="left"/>
      <w:pPr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4">
    <w:nsid w:val="0B1137FD"/>
    <w:multiLevelType w:val="hybridMultilevel"/>
    <w:tmpl w:val="60A2B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1CF6"/>
    <w:multiLevelType w:val="hybridMultilevel"/>
    <w:tmpl w:val="36F0F2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AE706D"/>
    <w:multiLevelType w:val="multilevel"/>
    <w:tmpl w:val="C11A878E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C743F16"/>
    <w:multiLevelType w:val="hybridMultilevel"/>
    <w:tmpl w:val="64D0F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061FC6"/>
    <w:multiLevelType w:val="hybridMultilevel"/>
    <w:tmpl w:val="B33C7A2A"/>
    <w:lvl w:ilvl="0" w:tplc="EFC053C8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1862CF"/>
    <w:multiLevelType w:val="hybridMultilevel"/>
    <w:tmpl w:val="2EDAACE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975C7"/>
    <w:multiLevelType w:val="hybridMultilevel"/>
    <w:tmpl w:val="2522E4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E77BC9"/>
    <w:multiLevelType w:val="hybridMultilevel"/>
    <w:tmpl w:val="46127C1A"/>
    <w:lvl w:ilvl="0" w:tplc="CC045EC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8635B0D"/>
    <w:multiLevelType w:val="hybridMultilevel"/>
    <w:tmpl w:val="56D2114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F633E4"/>
    <w:multiLevelType w:val="hybridMultilevel"/>
    <w:tmpl w:val="DC0EB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F5E45B8"/>
    <w:multiLevelType w:val="singleLevel"/>
    <w:tmpl w:val="EBE2FEB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>
    <w:nsid w:val="42975027"/>
    <w:multiLevelType w:val="hybridMultilevel"/>
    <w:tmpl w:val="B026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19672D"/>
    <w:multiLevelType w:val="hybridMultilevel"/>
    <w:tmpl w:val="DB56127C"/>
    <w:lvl w:ilvl="0" w:tplc="A654610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46991C6E"/>
    <w:multiLevelType w:val="hybridMultilevel"/>
    <w:tmpl w:val="E576626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762F80"/>
    <w:multiLevelType w:val="hybridMultilevel"/>
    <w:tmpl w:val="005C0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2D0072"/>
    <w:multiLevelType w:val="hybridMultilevel"/>
    <w:tmpl w:val="6F1E4D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F9F3108"/>
    <w:multiLevelType w:val="hybridMultilevel"/>
    <w:tmpl w:val="7B725D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934375"/>
    <w:multiLevelType w:val="hybridMultilevel"/>
    <w:tmpl w:val="23864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943306"/>
    <w:multiLevelType w:val="hybridMultilevel"/>
    <w:tmpl w:val="6E229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7AF7129"/>
    <w:multiLevelType w:val="hybridMultilevel"/>
    <w:tmpl w:val="1ACEAC9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68042268"/>
    <w:multiLevelType w:val="hybridMultilevel"/>
    <w:tmpl w:val="3E56F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8F7C3B"/>
    <w:multiLevelType w:val="hybridMultilevel"/>
    <w:tmpl w:val="E7F40B74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C147B28"/>
    <w:multiLevelType w:val="hybridMultilevel"/>
    <w:tmpl w:val="111EF4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3D5E0F"/>
    <w:multiLevelType w:val="hybridMultilevel"/>
    <w:tmpl w:val="83CCC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FE0901"/>
    <w:multiLevelType w:val="hybridMultilevel"/>
    <w:tmpl w:val="08AC2830"/>
    <w:lvl w:ilvl="0" w:tplc="2CA2CB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4C16EF0"/>
    <w:multiLevelType w:val="hybridMultilevel"/>
    <w:tmpl w:val="754A3D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A62C8D"/>
    <w:multiLevelType w:val="hybridMultilevel"/>
    <w:tmpl w:val="BC86D364"/>
    <w:lvl w:ilvl="0" w:tplc="86E0C22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2">
    <w:nsid w:val="76B12A93"/>
    <w:multiLevelType w:val="hybridMultilevel"/>
    <w:tmpl w:val="AAF28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C750EA"/>
    <w:multiLevelType w:val="hybridMultilevel"/>
    <w:tmpl w:val="C63EE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2659C8"/>
    <w:multiLevelType w:val="hybridMultilevel"/>
    <w:tmpl w:val="16BEE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E40F58"/>
    <w:multiLevelType w:val="hybridMultilevel"/>
    <w:tmpl w:val="F306E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4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27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6"/>
  </w:num>
  <w:num w:numId="13">
    <w:abstractNumId w:val="0"/>
  </w:num>
  <w:num w:numId="14">
    <w:abstractNumId w:val="1"/>
  </w:num>
  <w:num w:numId="15">
    <w:abstractNumId w:val="23"/>
  </w:num>
  <w:num w:numId="16">
    <w:abstractNumId w:val="8"/>
  </w:num>
  <w:num w:numId="17">
    <w:abstractNumId w:val="28"/>
  </w:num>
  <w:num w:numId="18">
    <w:abstractNumId w:val="10"/>
  </w:num>
  <w:num w:numId="19">
    <w:abstractNumId w:val="13"/>
  </w:num>
  <w:num w:numId="20">
    <w:abstractNumId w:val="34"/>
  </w:num>
  <w:num w:numId="21">
    <w:abstractNumId w:val="25"/>
  </w:num>
  <w:num w:numId="22">
    <w:abstractNumId w:val="21"/>
  </w:num>
  <w:num w:numId="23">
    <w:abstractNumId w:val="1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26"/>
  </w:num>
  <w:num w:numId="27">
    <w:abstractNumId w:val="18"/>
  </w:num>
  <w:num w:numId="28">
    <w:abstractNumId w:val="32"/>
  </w:num>
  <w:num w:numId="29">
    <w:abstractNumId w:val="16"/>
  </w:num>
  <w:num w:numId="30">
    <w:abstractNumId w:val="5"/>
  </w:num>
  <w:num w:numId="31">
    <w:abstractNumId w:val="19"/>
  </w:num>
  <w:num w:numId="32">
    <w:abstractNumId w:val="35"/>
  </w:num>
  <w:num w:numId="33">
    <w:abstractNumId w:val="12"/>
  </w:num>
  <w:num w:numId="34">
    <w:abstractNumId w:val="17"/>
  </w:num>
  <w:num w:numId="35">
    <w:abstractNumId w:val="9"/>
  </w:num>
  <w:num w:numId="36">
    <w:abstractNumId w:val="3"/>
  </w:num>
  <w:num w:numId="37">
    <w:abstractNumId w:val="4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FAE"/>
    <w:rsid w:val="00001027"/>
    <w:rsid w:val="00013BEB"/>
    <w:rsid w:val="0001682D"/>
    <w:rsid w:val="00020196"/>
    <w:rsid w:val="00050967"/>
    <w:rsid w:val="00051642"/>
    <w:rsid w:val="000543A1"/>
    <w:rsid w:val="0006002F"/>
    <w:rsid w:val="000622D0"/>
    <w:rsid w:val="00065C6D"/>
    <w:rsid w:val="00070437"/>
    <w:rsid w:val="000722C5"/>
    <w:rsid w:val="000817FE"/>
    <w:rsid w:val="00083132"/>
    <w:rsid w:val="00094B77"/>
    <w:rsid w:val="00097BEB"/>
    <w:rsid w:val="000A635E"/>
    <w:rsid w:val="000B51B0"/>
    <w:rsid w:val="000B5FBC"/>
    <w:rsid w:val="000B6099"/>
    <w:rsid w:val="000C5F56"/>
    <w:rsid w:val="000D298D"/>
    <w:rsid w:val="000D5A5D"/>
    <w:rsid w:val="000E45F0"/>
    <w:rsid w:val="000E5849"/>
    <w:rsid w:val="000F12AF"/>
    <w:rsid w:val="000F5878"/>
    <w:rsid w:val="00100991"/>
    <w:rsid w:val="00106301"/>
    <w:rsid w:val="00111386"/>
    <w:rsid w:val="00115082"/>
    <w:rsid w:val="0012285B"/>
    <w:rsid w:val="00133983"/>
    <w:rsid w:val="0013418A"/>
    <w:rsid w:val="00137EC1"/>
    <w:rsid w:val="00142AAE"/>
    <w:rsid w:val="001600D6"/>
    <w:rsid w:val="00161067"/>
    <w:rsid w:val="00165166"/>
    <w:rsid w:val="0016636D"/>
    <w:rsid w:val="00166E4A"/>
    <w:rsid w:val="00172D68"/>
    <w:rsid w:val="001732F6"/>
    <w:rsid w:val="0017704C"/>
    <w:rsid w:val="00183C3B"/>
    <w:rsid w:val="001A56EF"/>
    <w:rsid w:val="001C036D"/>
    <w:rsid w:val="001D2069"/>
    <w:rsid w:val="001D5BDA"/>
    <w:rsid w:val="001E292D"/>
    <w:rsid w:val="001E4562"/>
    <w:rsid w:val="001E5DD0"/>
    <w:rsid w:val="001F52B9"/>
    <w:rsid w:val="00204156"/>
    <w:rsid w:val="0020586B"/>
    <w:rsid w:val="0020755A"/>
    <w:rsid w:val="00215D5A"/>
    <w:rsid w:val="0022157B"/>
    <w:rsid w:val="00223BEF"/>
    <w:rsid w:val="0022753D"/>
    <w:rsid w:val="00230739"/>
    <w:rsid w:val="002338DF"/>
    <w:rsid w:val="00250FA7"/>
    <w:rsid w:val="00252534"/>
    <w:rsid w:val="0026723C"/>
    <w:rsid w:val="00281B2A"/>
    <w:rsid w:val="002823CE"/>
    <w:rsid w:val="00283DF1"/>
    <w:rsid w:val="00284119"/>
    <w:rsid w:val="002A0CD2"/>
    <w:rsid w:val="002A44E7"/>
    <w:rsid w:val="002C2F22"/>
    <w:rsid w:val="002C4993"/>
    <w:rsid w:val="002C49C9"/>
    <w:rsid w:val="002C5078"/>
    <w:rsid w:val="002D624D"/>
    <w:rsid w:val="002F20DE"/>
    <w:rsid w:val="00302B9F"/>
    <w:rsid w:val="00306BAC"/>
    <w:rsid w:val="003130BB"/>
    <w:rsid w:val="00323494"/>
    <w:rsid w:val="003244E5"/>
    <w:rsid w:val="00330E8E"/>
    <w:rsid w:val="00340986"/>
    <w:rsid w:val="0036576E"/>
    <w:rsid w:val="00365990"/>
    <w:rsid w:val="0038615F"/>
    <w:rsid w:val="00393083"/>
    <w:rsid w:val="00395BD9"/>
    <w:rsid w:val="00397F7B"/>
    <w:rsid w:val="003B6C5A"/>
    <w:rsid w:val="003C07AF"/>
    <w:rsid w:val="003C35DD"/>
    <w:rsid w:val="003D11D6"/>
    <w:rsid w:val="003D6C5A"/>
    <w:rsid w:val="003F43D7"/>
    <w:rsid w:val="004025EF"/>
    <w:rsid w:val="0040360C"/>
    <w:rsid w:val="00404BE9"/>
    <w:rsid w:val="0041171A"/>
    <w:rsid w:val="00425E72"/>
    <w:rsid w:val="004432A9"/>
    <w:rsid w:val="00447E0A"/>
    <w:rsid w:val="00447F3F"/>
    <w:rsid w:val="004570EE"/>
    <w:rsid w:val="00461EC4"/>
    <w:rsid w:val="00465E54"/>
    <w:rsid w:val="004732CF"/>
    <w:rsid w:val="0048301D"/>
    <w:rsid w:val="004836C0"/>
    <w:rsid w:val="00487C61"/>
    <w:rsid w:val="00492707"/>
    <w:rsid w:val="00495474"/>
    <w:rsid w:val="004E31C7"/>
    <w:rsid w:val="004E6C6D"/>
    <w:rsid w:val="004F3655"/>
    <w:rsid w:val="0050282B"/>
    <w:rsid w:val="00504F91"/>
    <w:rsid w:val="0050786E"/>
    <w:rsid w:val="00507F79"/>
    <w:rsid w:val="005127E9"/>
    <w:rsid w:val="00515D83"/>
    <w:rsid w:val="00533FEC"/>
    <w:rsid w:val="0053540F"/>
    <w:rsid w:val="00550729"/>
    <w:rsid w:val="00570C00"/>
    <w:rsid w:val="00571833"/>
    <w:rsid w:val="005729C2"/>
    <w:rsid w:val="0058028A"/>
    <w:rsid w:val="005B27CD"/>
    <w:rsid w:val="005B3D48"/>
    <w:rsid w:val="005B5479"/>
    <w:rsid w:val="005B719C"/>
    <w:rsid w:val="005B7616"/>
    <w:rsid w:val="005C0A8D"/>
    <w:rsid w:val="005C3518"/>
    <w:rsid w:val="005C3CB4"/>
    <w:rsid w:val="005C42A9"/>
    <w:rsid w:val="005D560E"/>
    <w:rsid w:val="005D611A"/>
    <w:rsid w:val="005F1307"/>
    <w:rsid w:val="005F180E"/>
    <w:rsid w:val="005F25E6"/>
    <w:rsid w:val="005F5E15"/>
    <w:rsid w:val="006006FC"/>
    <w:rsid w:val="00606183"/>
    <w:rsid w:val="00606FB1"/>
    <w:rsid w:val="00613FEC"/>
    <w:rsid w:val="00625E13"/>
    <w:rsid w:val="006422CE"/>
    <w:rsid w:val="00645015"/>
    <w:rsid w:val="006517A9"/>
    <w:rsid w:val="00657FA8"/>
    <w:rsid w:val="00660724"/>
    <w:rsid w:val="006623F6"/>
    <w:rsid w:val="00663F99"/>
    <w:rsid w:val="0067346C"/>
    <w:rsid w:val="00676EAA"/>
    <w:rsid w:val="00681502"/>
    <w:rsid w:val="006902B9"/>
    <w:rsid w:val="006A4C69"/>
    <w:rsid w:val="006A5464"/>
    <w:rsid w:val="006A6D6F"/>
    <w:rsid w:val="006A73D9"/>
    <w:rsid w:val="006A7FCD"/>
    <w:rsid w:val="006B5ED2"/>
    <w:rsid w:val="006B6948"/>
    <w:rsid w:val="006C19F5"/>
    <w:rsid w:val="006C31F5"/>
    <w:rsid w:val="006D387F"/>
    <w:rsid w:val="006D5034"/>
    <w:rsid w:val="006E4561"/>
    <w:rsid w:val="006E56BD"/>
    <w:rsid w:val="00720B52"/>
    <w:rsid w:val="0072133E"/>
    <w:rsid w:val="00726311"/>
    <w:rsid w:val="007324A8"/>
    <w:rsid w:val="00754DDD"/>
    <w:rsid w:val="00763FCE"/>
    <w:rsid w:val="0077596B"/>
    <w:rsid w:val="00781CBB"/>
    <w:rsid w:val="00791047"/>
    <w:rsid w:val="00791913"/>
    <w:rsid w:val="00791B0D"/>
    <w:rsid w:val="00792D79"/>
    <w:rsid w:val="007960A9"/>
    <w:rsid w:val="007A18EE"/>
    <w:rsid w:val="007A304E"/>
    <w:rsid w:val="007A33B9"/>
    <w:rsid w:val="007A4279"/>
    <w:rsid w:val="007A4EE1"/>
    <w:rsid w:val="007B31DC"/>
    <w:rsid w:val="007B7FAE"/>
    <w:rsid w:val="007D32A3"/>
    <w:rsid w:val="007D66BB"/>
    <w:rsid w:val="007E1073"/>
    <w:rsid w:val="007E39B6"/>
    <w:rsid w:val="007E6E29"/>
    <w:rsid w:val="007F6AE0"/>
    <w:rsid w:val="008037CE"/>
    <w:rsid w:val="00803F18"/>
    <w:rsid w:val="00807300"/>
    <w:rsid w:val="00815BAF"/>
    <w:rsid w:val="00826F90"/>
    <w:rsid w:val="00831465"/>
    <w:rsid w:val="00837461"/>
    <w:rsid w:val="008430D6"/>
    <w:rsid w:val="008610B9"/>
    <w:rsid w:val="00870385"/>
    <w:rsid w:val="00871089"/>
    <w:rsid w:val="00872C7E"/>
    <w:rsid w:val="008778A0"/>
    <w:rsid w:val="0088392F"/>
    <w:rsid w:val="00885ACD"/>
    <w:rsid w:val="00886F0B"/>
    <w:rsid w:val="00895B0B"/>
    <w:rsid w:val="008C3D77"/>
    <w:rsid w:val="008C4976"/>
    <w:rsid w:val="008C7314"/>
    <w:rsid w:val="008D4D7F"/>
    <w:rsid w:val="008D78DB"/>
    <w:rsid w:val="008E3723"/>
    <w:rsid w:val="00900CE2"/>
    <w:rsid w:val="00904FB8"/>
    <w:rsid w:val="009124E0"/>
    <w:rsid w:val="0091546A"/>
    <w:rsid w:val="0092037E"/>
    <w:rsid w:val="009230EC"/>
    <w:rsid w:val="009242EA"/>
    <w:rsid w:val="00927130"/>
    <w:rsid w:val="00927E91"/>
    <w:rsid w:val="00930AE0"/>
    <w:rsid w:val="00931A22"/>
    <w:rsid w:val="00944D91"/>
    <w:rsid w:val="0094726B"/>
    <w:rsid w:val="00952164"/>
    <w:rsid w:val="0095226E"/>
    <w:rsid w:val="00960361"/>
    <w:rsid w:val="00972A8E"/>
    <w:rsid w:val="00976FC0"/>
    <w:rsid w:val="00981941"/>
    <w:rsid w:val="009A4608"/>
    <w:rsid w:val="009B403E"/>
    <w:rsid w:val="009B5E01"/>
    <w:rsid w:val="009B612B"/>
    <w:rsid w:val="009B673A"/>
    <w:rsid w:val="009B79E4"/>
    <w:rsid w:val="009B7BFC"/>
    <w:rsid w:val="009C591C"/>
    <w:rsid w:val="009D1536"/>
    <w:rsid w:val="009D27C1"/>
    <w:rsid w:val="009E5652"/>
    <w:rsid w:val="009F0277"/>
    <w:rsid w:val="009F363E"/>
    <w:rsid w:val="00A013D3"/>
    <w:rsid w:val="00A055F0"/>
    <w:rsid w:val="00A069AB"/>
    <w:rsid w:val="00A07CFB"/>
    <w:rsid w:val="00A10BDB"/>
    <w:rsid w:val="00A140EC"/>
    <w:rsid w:val="00A21791"/>
    <w:rsid w:val="00A22A96"/>
    <w:rsid w:val="00A2760D"/>
    <w:rsid w:val="00A4200E"/>
    <w:rsid w:val="00A43E3C"/>
    <w:rsid w:val="00A517BE"/>
    <w:rsid w:val="00A56929"/>
    <w:rsid w:val="00A60F8D"/>
    <w:rsid w:val="00A725C1"/>
    <w:rsid w:val="00A770AC"/>
    <w:rsid w:val="00A84094"/>
    <w:rsid w:val="00A85034"/>
    <w:rsid w:val="00A92889"/>
    <w:rsid w:val="00A93648"/>
    <w:rsid w:val="00AA63A3"/>
    <w:rsid w:val="00AB2626"/>
    <w:rsid w:val="00AB28CF"/>
    <w:rsid w:val="00AB7212"/>
    <w:rsid w:val="00AC52B6"/>
    <w:rsid w:val="00AC583D"/>
    <w:rsid w:val="00AC7DEB"/>
    <w:rsid w:val="00AD03DC"/>
    <w:rsid w:val="00AE32F4"/>
    <w:rsid w:val="00AE36CD"/>
    <w:rsid w:val="00AE43F0"/>
    <w:rsid w:val="00AE4932"/>
    <w:rsid w:val="00B00A82"/>
    <w:rsid w:val="00B02924"/>
    <w:rsid w:val="00B05D84"/>
    <w:rsid w:val="00B062F7"/>
    <w:rsid w:val="00B07FBA"/>
    <w:rsid w:val="00B249CB"/>
    <w:rsid w:val="00B3075D"/>
    <w:rsid w:val="00B43F48"/>
    <w:rsid w:val="00B4598D"/>
    <w:rsid w:val="00B476CE"/>
    <w:rsid w:val="00B52BBA"/>
    <w:rsid w:val="00B56962"/>
    <w:rsid w:val="00B60BA6"/>
    <w:rsid w:val="00B675C7"/>
    <w:rsid w:val="00B67661"/>
    <w:rsid w:val="00B70F43"/>
    <w:rsid w:val="00B77550"/>
    <w:rsid w:val="00B823BC"/>
    <w:rsid w:val="00BC1BF1"/>
    <w:rsid w:val="00BC4F0C"/>
    <w:rsid w:val="00BC53D3"/>
    <w:rsid w:val="00BD635D"/>
    <w:rsid w:val="00BE1110"/>
    <w:rsid w:val="00BE7B19"/>
    <w:rsid w:val="00BF374B"/>
    <w:rsid w:val="00BF4558"/>
    <w:rsid w:val="00C00CED"/>
    <w:rsid w:val="00C036E9"/>
    <w:rsid w:val="00C07318"/>
    <w:rsid w:val="00C166BE"/>
    <w:rsid w:val="00C21DC4"/>
    <w:rsid w:val="00C44409"/>
    <w:rsid w:val="00C4578B"/>
    <w:rsid w:val="00C46182"/>
    <w:rsid w:val="00C54C32"/>
    <w:rsid w:val="00C564CB"/>
    <w:rsid w:val="00C65197"/>
    <w:rsid w:val="00C67362"/>
    <w:rsid w:val="00C75BFB"/>
    <w:rsid w:val="00C75E3F"/>
    <w:rsid w:val="00C84953"/>
    <w:rsid w:val="00C87E8C"/>
    <w:rsid w:val="00C90965"/>
    <w:rsid w:val="00C92752"/>
    <w:rsid w:val="00C9785F"/>
    <w:rsid w:val="00CA4B9D"/>
    <w:rsid w:val="00CA6C48"/>
    <w:rsid w:val="00CB2491"/>
    <w:rsid w:val="00CC5491"/>
    <w:rsid w:val="00CC773F"/>
    <w:rsid w:val="00CE181D"/>
    <w:rsid w:val="00CE5F69"/>
    <w:rsid w:val="00CE670F"/>
    <w:rsid w:val="00CE7792"/>
    <w:rsid w:val="00CF1045"/>
    <w:rsid w:val="00CF2067"/>
    <w:rsid w:val="00CF5F77"/>
    <w:rsid w:val="00CF7996"/>
    <w:rsid w:val="00D046ED"/>
    <w:rsid w:val="00D13139"/>
    <w:rsid w:val="00D273E2"/>
    <w:rsid w:val="00D320B5"/>
    <w:rsid w:val="00D33FCC"/>
    <w:rsid w:val="00D3445F"/>
    <w:rsid w:val="00D47B7E"/>
    <w:rsid w:val="00D5500F"/>
    <w:rsid w:val="00D60BF2"/>
    <w:rsid w:val="00D61E70"/>
    <w:rsid w:val="00D62A3B"/>
    <w:rsid w:val="00D72255"/>
    <w:rsid w:val="00D762A6"/>
    <w:rsid w:val="00D8208B"/>
    <w:rsid w:val="00D93F36"/>
    <w:rsid w:val="00DA2C64"/>
    <w:rsid w:val="00DB6B93"/>
    <w:rsid w:val="00DB7467"/>
    <w:rsid w:val="00DC1988"/>
    <w:rsid w:val="00DD3D4A"/>
    <w:rsid w:val="00DE033F"/>
    <w:rsid w:val="00DF2D55"/>
    <w:rsid w:val="00DF2FA7"/>
    <w:rsid w:val="00DF7E59"/>
    <w:rsid w:val="00E02D59"/>
    <w:rsid w:val="00E15C7C"/>
    <w:rsid w:val="00E24490"/>
    <w:rsid w:val="00E42A1D"/>
    <w:rsid w:val="00E51494"/>
    <w:rsid w:val="00E5771B"/>
    <w:rsid w:val="00E63CB2"/>
    <w:rsid w:val="00E705BC"/>
    <w:rsid w:val="00E73B33"/>
    <w:rsid w:val="00E742A8"/>
    <w:rsid w:val="00E805CC"/>
    <w:rsid w:val="00E810E7"/>
    <w:rsid w:val="00E91796"/>
    <w:rsid w:val="00E93EFF"/>
    <w:rsid w:val="00E9628E"/>
    <w:rsid w:val="00EB0255"/>
    <w:rsid w:val="00EB6A49"/>
    <w:rsid w:val="00EC6AAC"/>
    <w:rsid w:val="00ED0ECB"/>
    <w:rsid w:val="00EF3BA7"/>
    <w:rsid w:val="00EF59FF"/>
    <w:rsid w:val="00F04AFD"/>
    <w:rsid w:val="00F14F35"/>
    <w:rsid w:val="00F40709"/>
    <w:rsid w:val="00F60251"/>
    <w:rsid w:val="00F634FF"/>
    <w:rsid w:val="00F639B8"/>
    <w:rsid w:val="00F667C0"/>
    <w:rsid w:val="00F720BA"/>
    <w:rsid w:val="00F74361"/>
    <w:rsid w:val="00F8205F"/>
    <w:rsid w:val="00F92FEB"/>
    <w:rsid w:val="00F94089"/>
    <w:rsid w:val="00FA1E0E"/>
    <w:rsid w:val="00FA3712"/>
    <w:rsid w:val="00FB05BD"/>
    <w:rsid w:val="00FB1F3B"/>
    <w:rsid w:val="00FB3520"/>
    <w:rsid w:val="00FC5ECB"/>
    <w:rsid w:val="00FD45A0"/>
    <w:rsid w:val="00FD5D92"/>
    <w:rsid w:val="00FE2DBB"/>
    <w:rsid w:val="00FE32FA"/>
    <w:rsid w:val="00FE6D3F"/>
    <w:rsid w:val="00FF0645"/>
    <w:rsid w:val="00FF0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2889"/>
    <w:pPr>
      <w:keepNext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330E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30E8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30E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30E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30E8E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D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D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AE43F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E43F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43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unhideWhenUsed/>
    <w:qFormat/>
    <w:rsid w:val="00CF1045"/>
    <w:pPr>
      <w:spacing w:after="200"/>
    </w:pPr>
    <w:rPr>
      <w:b/>
      <w:bCs/>
      <w:color w:val="4F81BD" w:themeColor="accent1"/>
      <w:sz w:val="18"/>
      <w:szCs w:val="18"/>
    </w:rPr>
  </w:style>
  <w:style w:type="paragraph" w:styleId="aa">
    <w:name w:val="Body Text"/>
    <w:basedOn w:val="a"/>
    <w:link w:val="ab"/>
    <w:rsid w:val="00791913"/>
    <w:pPr>
      <w:jc w:val="both"/>
    </w:pPr>
    <w:rPr>
      <w:sz w:val="28"/>
      <w:szCs w:val="28"/>
    </w:rPr>
  </w:style>
  <w:style w:type="character" w:customStyle="1" w:styleId="ab">
    <w:name w:val="Основной текст Знак"/>
    <w:basedOn w:val="a0"/>
    <w:link w:val="aa"/>
    <w:rsid w:val="0079191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ody Text Indent"/>
    <w:basedOn w:val="a"/>
    <w:link w:val="ad"/>
    <w:rsid w:val="006D387F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D38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928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A9288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928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A92889"/>
    <w:pPr>
      <w:jc w:val="center"/>
    </w:pPr>
    <w:rPr>
      <w:b/>
      <w:sz w:val="28"/>
      <w:szCs w:val="24"/>
    </w:rPr>
  </w:style>
  <w:style w:type="character" w:customStyle="1" w:styleId="af">
    <w:name w:val="Название Знак"/>
    <w:basedOn w:val="a0"/>
    <w:link w:val="ae"/>
    <w:rsid w:val="00A928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30E8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30E8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330E8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30E8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Содержимое таблицы"/>
    <w:basedOn w:val="a"/>
    <w:rsid w:val="00330E8E"/>
    <w:pPr>
      <w:suppressLineNumbers/>
      <w:suppressAutoHyphens/>
    </w:pPr>
    <w:rPr>
      <w:lang w:eastAsia="ar-SA"/>
    </w:rPr>
  </w:style>
  <w:style w:type="paragraph" w:styleId="21">
    <w:name w:val="Body Text 2"/>
    <w:basedOn w:val="a"/>
    <w:link w:val="22"/>
    <w:rsid w:val="00330E8E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30E8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330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 с отступом 2 Знак"/>
    <w:basedOn w:val="a0"/>
    <w:link w:val="24"/>
    <w:locked/>
    <w:rsid w:val="00330E8E"/>
    <w:rPr>
      <w:sz w:val="24"/>
      <w:szCs w:val="24"/>
      <w:lang w:eastAsia="ru-RU"/>
    </w:rPr>
  </w:style>
  <w:style w:type="paragraph" w:styleId="24">
    <w:name w:val="Body Text Indent 2"/>
    <w:basedOn w:val="a"/>
    <w:link w:val="23"/>
    <w:rsid w:val="00330E8E"/>
    <w:pPr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30E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locked/>
    <w:rsid w:val="00330E8E"/>
    <w:rPr>
      <w:sz w:val="16"/>
      <w:szCs w:val="16"/>
      <w:lang w:eastAsia="ru-RU"/>
    </w:rPr>
  </w:style>
  <w:style w:type="paragraph" w:styleId="34">
    <w:name w:val="Body Text Indent 3"/>
    <w:basedOn w:val="a"/>
    <w:link w:val="33"/>
    <w:rsid w:val="00330E8E"/>
    <w:pPr>
      <w:spacing w:after="120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330E8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2">
    <w:name w:val="Схема документа Знак"/>
    <w:basedOn w:val="a0"/>
    <w:link w:val="af3"/>
    <w:semiHidden/>
    <w:locked/>
    <w:rsid w:val="00330E8E"/>
    <w:rPr>
      <w:rFonts w:ascii="Tahoma" w:hAnsi="Tahoma" w:cs="Tahoma"/>
      <w:shd w:val="clear" w:color="auto" w:fill="000080"/>
      <w:lang w:eastAsia="ru-RU"/>
    </w:rPr>
  </w:style>
  <w:style w:type="paragraph" w:styleId="af3">
    <w:name w:val="Document Map"/>
    <w:basedOn w:val="a"/>
    <w:link w:val="af2"/>
    <w:semiHidden/>
    <w:rsid w:val="00330E8E"/>
    <w:pPr>
      <w:shd w:val="clear" w:color="auto" w:fill="000080"/>
    </w:pPr>
    <w:rPr>
      <w:rFonts w:ascii="Tahoma" w:eastAsiaTheme="minorHAnsi" w:hAnsi="Tahoma" w:cs="Tahoma"/>
      <w:sz w:val="22"/>
      <w:szCs w:val="22"/>
    </w:rPr>
  </w:style>
  <w:style w:type="character" w:customStyle="1" w:styleId="11">
    <w:name w:val="Схема документа Знак1"/>
    <w:basedOn w:val="a0"/>
    <w:uiPriority w:val="99"/>
    <w:semiHidden/>
    <w:rsid w:val="00330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1">
    <w:name w:val="Знак Знак7"/>
    <w:basedOn w:val="a0"/>
    <w:rsid w:val="00330E8E"/>
    <w:rPr>
      <w:b/>
      <w:sz w:val="26"/>
      <w:lang w:val="ru-RU" w:eastAsia="ru-RU" w:bidi="ar-SA"/>
    </w:rPr>
  </w:style>
  <w:style w:type="character" w:customStyle="1" w:styleId="100">
    <w:name w:val="Знак Знак10"/>
    <w:basedOn w:val="a0"/>
    <w:rsid w:val="00330E8E"/>
    <w:rPr>
      <w:sz w:val="28"/>
      <w:lang w:val="ru-RU" w:eastAsia="ru-RU" w:bidi="ar-SA"/>
    </w:rPr>
  </w:style>
  <w:style w:type="paragraph" w:customStyle="1" w:styleId="af4">
    <w:name w:val="Знак Знак Знак Знак Знак Знак Знак"/>
    <w:basedOn w:val="a"/>
    <w:rsid w:val="00330E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"/>
    <w:link w:val="HTML0"/>
    <w:unhideWhenUsed/>
    <w:rsid w:val="00330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330E8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unhideWhenUsed/>
    <w:rsid w:val="00330E8E"/>
    <w:pPr>
      <w:ind w:left="113" w:right="340"/>
    </w:pPr>
    <w:rPr>
      <w:sz w:val="24"/>
    </w:rPr>
  </w:style>
  <w:style w:type="paragraph" w:styleId="af6">
    <w:name w:val="List Paragraph"/>
    <w:basedOn w:val="a"/>
    <w:uiPriority w:val="34"/>
    <w:qFormat/>
    <w:rsid w:val="007E1073"/>
    <w:pPr>
      <w:ind w:left="720"/>
      <w:contextualSpacing/>
    </w:pPr>
  </w:style>
  <w:style w:type="character" w:customStyle="1" w:styleId="25">
    <w:name w:val="Основной текст (2)_"/>
    <w:link w:val="26"/>
    <w:rsid w:val="00BE11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BE111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styleId="af7">
    <w:name w:val="page number"/>
    <w:basedOn w:val="a0"/>
    <w:rsid w:val="0053540F"/>
  </w:style>
  <w:style w:type="paragraph" w:customStyle="1" w:styleId="af8">
    <w:name w:val="Стиль"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9">
    <w:name w:val="Знак"/>
    <w:basedOn w:val="a"/>
    <w:rsid w:val="0053540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a">
    <w:name w:val="No Spacing"/>
    <w:uiPriority w:val="1"/>
    <w:qFormat/>
    <w:rsid w:val="00535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basedOn w:val="a0"/>
    <w:uiPriority w:val="20"/>
    <w:qFormat/>
    <w:rsid w:val="0053540F"/>
    <w:rPr>
      <w:i/>
      <w:iCs/>
    </w:rPr>
  </w:style>
  <w:style w:type="paragraph" w:styleId="afc">
    <w:name w:val="Normal (Web)"/>
    <w:basedOn w:val="a"/>
    <w:semiHidden/>
    <w:unhideWhenUsed/>
    <w:rsid w:val="00DB6B9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0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79;&#1072;&#1073;&#1086;&#1083;&#1077;&#1074;&#1072;&#1077;&#1084;&#1086;&#1089;&#1090;&#1100;%20&#1075;&#1086;&#1088;&#1086;&#1076;%20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79;&#1072;&#1073;&#1086;&#1083;&#1077;&#1074;&#1072;&#1077;&#1084;&#1086;&#1089;&#1090;&#1100;%20&#1075;&#1086;&#1088;&#1086;&#1076;%20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79;&#1072;&#1073;&#1086;&#1083;&#1077;&#1074;&#1072;&#1077;&#1084;&#1086;&#1089;&#1090;&#1100;%20&#1075;&#1086;&#1088;&#1086;&#1076;%202019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79;&#1072;&#1073;&#1086;&#1083;&#1077;&#1074;&#1072;&#1077;&#1084;&#1086;&#1089;&#1090;&#1100;%20&#1075;&#1086;&#1088;&#1086;&#1076;%202019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79;&#1072;&#1073;&#1086;&#1083;&#1077;&#1074;&#1072;&#1077;&#1084;&#1086;&#1089;&#1090;&#1100;%20&#1075;&#1086;&#1088;&#1086;&#1076;%202019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79;&#1072;&#1073;&#1086;&#1083;&#1077;&#1074;&#1072;&#1077;&#1084;&#1086;&#1089;&#1090;&#1100;%20&#1075;&#1086;&#1088;&#1086;&#1076;%202019.xlsx" TargetMode="Externa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100" b="1" i="1" baseline="0">
                <a:effectLst/>
              </a:rPr>
              <a:t>Уровень общей заболеваемости по приоритетным направлениям в сравнении по годам (2017-2019) в г. Нефтеюганске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Лист2!$B$4</c:f>
              <c:strCache>
                <c:ptCount val="1"/>
                <c:pt idx="0">
                  <c:v>Болезни органов дыхания</c:v>
                </c:pt>
              </c:strCache>
            </c:strRef>
          </c:tx>
          <c:spPr>
            <a:pattFill prst="ltVert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Лист2!$C$4:$E$4</c:f>
              <c:numCache>
                <c:formatCode>0.0</c:formatCode>
                <c:ptCount val="3"/>
                <c:pt idx="0">
                  <c:v>655.52</c:v>
                </c:pt>
                <c:pt idx="1">
                  <c:v>671.4</c:v>
                </c:pt>
                <c:pt idx="2">
                  <c:v>475.96003047004524</c:v>
                </c:pt>
              </c:numCache>
            </c:numRef>
          </c:val>
        </c:ser>
        <c:ser>
          <c:idx val="0"/>
          <c:order val="1"/>
          <c:tx>
            <c:strRef>
              <c:f>Лист2!$B$3</c:f>
              <c:strCache>
                <c:ptCount val="1"/>
                <c:pt idx="0">
                  <c:v>Болезни системы кровообращения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Лист2!$C$3:$E$3</c:f>
              <c:numCache>
                <c:formatCode>0.0</c:formatCode>
                <c:ptCount val="3"/>
                <c:pt idx="0">
                  <c:v>169.2</c:v>
                </c:pt>
                <c:pt idx="1">
                  <c:v>187.6</c:v>
                </c:pt>
                <c:pt idx="2">
                  <c:v>183.60442711834028</c:v>
                </c:pt>
              </c:numCache>
            </c:numRef>
          </c:val>
        </c:ser>
        <c:ser>
          <c:idx val="2"/>
          <c:order val="2"/>
          <c:tx>
            <c:strRef>
              <c:f>Лист2!$B$5</c:f>
              <c:strCache>
                <c:ptCount val="1"/>
                <c:pt idx="0">
                  <c:v>Болезни костно-мышечной системы</c:v>
                </c:pt>
              </c:strCache>
            </c:strRef>
          </c:tx>
          <c:spPr>
            <a:pattFill prst="smGrid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dLbl>
              <c:idx val="1"/>
              <c:layout>
                <c:manualLayout>
                  <c:x val="1.0319754922275583E-2"/>
                  <c:y val="2.693602693602693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Лист2!$C$5:$E$5</c:f>
              <c:numCache>
                <c:formatCode>0.0</c:formatCode>
                <c:ptCount val="3"/>
                <c:pt idx="0">
                  <c:v>158.57</c:v>
                </c:pt>
                <c:pt idx="1">
                  <c:v>158.57</c:v>
                </c:pt>
                <c:pt idx="2">
                  <c:v>150.15459067078908</c:v>
                </c:pt>
              </c:numCache>
            </c:numRef>
          </c:val>
        </c:ser>
        <c:ser>
          <c:idx val="3"/>
          <c:order val="3"/>
          <c:tx>
            <c:strRef>
              <c:f>Лист2!$B$6</c:f>
              <c:strCache>
                <c:ptCount val="1"/>
                <c:pt idx="0">
                  <c:v>Болезни мочеполовой системы</c:v>
                </c:pt>
              </c:strCache>
            </c:strRef>
          </c:tx>
          <c:spPr>
            <a:pattFill prst="lgCheck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dLbls>
            <c:spPr>
              <a:noFill/>
              <a:ln>
                <a:noFill/>
              </a:ln>
              <a:effectLst/>
            </c:sp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Лист2!$C$2:$E$2</c:f>
              <c:numCache>
                <c:formatCode>General</c:formatCode>
                <c:ptCount val="3"/>
                <c:pt idx="0">
                  <c:v>2017</c:v>
                </c:pt>
                <c:pt idx="1">
                  <c:v>2018</c:v>
                </c:pt>
                <c:pt idx="2">
                  <c:v>2019</c:v>
                </c:pt>
              </c:numCache>
            </c:numRef>
          </c:cat>
          <c:val>
            <c:numRef>
              <c:f>Лист2!$C$6:$E$6</c:f>
              <c:numCache>
                <c:formatCode>0.0</c:formatCode>
                <c:ptCount val="3"/>
                <c:pt idx="0">
                  <c:v>76.2</c:v>
                </c:pt>
                <c:pt idx="1">
                  <c:v>62.6</c:v>
                </c:pt>
                <c:pt idx="2">
                  <c:v>114.8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58841856"/>
        <c:axId val="158843648"/>
      </c:barChart>
      <c:catAx>
        <c:axId val="158841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158843648"/>
        <c:crosses val="autoZero"/>
        <c:auto val="1"/>
        <c:lblAlgn val="ctr"/>
        <c:lblOffset val="100"/>
        <c:noMultiLvlLbl val="0"/>
      </c:catAx>
      <c:valAx>
        <c:axId val="158843648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588418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Динамика показателей заболеваемости по возрастным группам за период с 2016 по 2019 гг.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Лист2!$B$22</c:f>
              <c:strCache>
                <c:ptCount val="1"/>
                <c:pt idx="0">
                  <c:v>Дети 0-14 лет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Лист2!$C$21:$E$21</c:f>
              <c:strCache>
                <c:ptCount val="3"/>
                <c:pt idx="0">
                  <c:v>2017 г.</c:v>
                </c:pt>
                <c:pt idx="1">
                  <c:v>2018 г.</c:v>
                </c:pt>
                <c:pt idx="2">
                  <c:v>2019 г.</c:v>
                </c:pt>
              </c:strCache>
            </c:strRef>
          </c:cat>
          <c:val>
            <c:numRef>
              <c:f>Лист2!$C$22:$E$22</c:f>
              <c:numCache>
                <c:formatCode>General</c:formatCode>
                <c:ptCount val="3"/>
                <c:pt idx="0">
                  <c:v>4056.7</c:v>
                </c:pt>
                <c:pt idx="1">
                  <c:v>3850.2</c:v>
                </c:pt>
                <c:pt idx="2">
                  <c:v>2568.5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Лист2!$B$23</c:f>
              <c:strCache>
                <c:ptCount val="1"/>
                <c:pt idx="0">
                  <c:v>Подростки 15-17 лет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Лист2!$C$21:$E$21</c:f>
              <c:strCache>
                <c:ptCount val="3"/>
                <c:pt idx="0">
                  <c:v>2017 г.</c:v>
                </c:pt>
                <c:pt idx="1">
                  <c:v>2018 г.</c:v>
                </c:pt>
                <c:pt idx="2">
                  <c:v>2019 г.</c:v>
                </c:pt>
              </c:strCache>
            </c:strRef>
          </c:cat>
          <c:val>
            <c:numRef>
              <c:f>Лист2!$C$23:$E$23</c:f>
              <c:numCache>
                <c:formatCode>General</c:formatCode>
                <c:ptCount val="3"/>
                <c:pt idx="0">
                  <c:v>2322.8000000000002</c:v>
                </c:pt>
                <c:pt idx="1">
                  <c:v>2229.5</c:v>
                </c:pt>
                <c:pt idx="2">
                  <c:v>1422.6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Лист2!$B$24</c:f>
              <c:strCache>
                <c:ptCount val="1"/>
                <c:pt idx="0">
                  <c:v>Взрослые 18 лет и старше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Лист2!$C$21:$E$21</c:f>
              <c:strCache>
                <c:ptCount val="3"/>
                <c:pt idx="0">
                  <c:v>2017 г.</c:v>
                </c:pt>
                <c:pt idx="1">
                  <c:v>2018 г.</c:v>
                </c:pt>
                <c:pt idx="2">
                  <c:v>2019 г.</c:v>
                </c:pt>
              </c:strCache>
            </c:strRef>
          </c:cat>
          <c:val>
            <c:numRef>
              <c:f>Лист2!$C$24:$E$24</c:f>
              <c:numCache>
                <c:formatCode>General</c:formatCode>
                <c:ptCount val="3"/>
                <c:pt idx="0">
                  <c:v>1218.7</c:v>
                </c:pt>
                <c:pt idx="1">
                  <c:v>1217.4000000000001</c:v>
                </c:pt>
                <c:pt idx="2">
                  <c:v>1286.5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622464"/>
        <c:axId val="158624000"/>
      </c:lineChart>
      <c:catAx>
        <c:axId val="15862246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158624000"/>
        <c:crosses val="autoZero"/>
        <c:auto val="1"/>
        <c:lblAlgn val="ctr"/>
        <c:lblOffset val="100"/>
        <c:noMultiLvlLbl val="0"/>
      </c:catAx>
      <c:valAx>
        <c:axId val="1586240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5862246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Структура общей заболеваемости (общая)  за 2019 год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Лист1!$C$8:$C$26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Лист1!$H$8:$H$26</c:f>
              <c:numCache>
                <c:formatCode>0.0</c:formatCode>
                <c:ptCount val="19"/>
                <c:pt idx="0">
                  <c:v>71.139660302504339</c:v>
                </c:pt>
                <c:pt idx="1">
                  <c:v>37.053682122489462</c:v>
                </c:pt>
                <c:pt idx="2">
                  <c:v>11.692598561864617</c:v>
                </c:pt>
                <c:pt idx="3">
                  <c:v>106.41117034465658</c:v>
                </c:pt>
                <c:pt idx="4">
                  <c:v>19.03824696255889</c:v>
                </c:pt>
                <c:pt idx="5">
                  <c:v>50.613687081576991</c:v>
                </c:pt>
                <c:pt idx="6">
                  <c:v>80.050520704190433</c:v>
                </c:pt>
                <c:pt idx="7">
                  <c:v>25.93447805603769</c:v>
                </c:pt>
                <c:pt idx="8">
                  <c:v>134.95691792710141</c:v>
                </c:pt>
                <c:pt idx="9">
                  <c:v>477.24243739151996</c:v>
                </c:pt>
                <c:pt idx="10">
                  <c:v>101.73878006446814</c:v>
                </c:pt>
                <c:pt idx="11">
                  <c:v>62.027336969997521</c:v>
                </c:pt>
                <c:pt idx="12">
                  <c:v>176.03211009174311</c:v>
                </c:pt>
                <c:pt idx="13">
                  <c:v>114.83387056781552</c:v>
                </c:pt>
                <c:pt idx="14">
                  <c:v>19.758864368956111</c:v>
                </c:pt>
                <c:pt idx="15">
                  <c:v>1.2475204562360527</c:v>
                </c:pt>
                <c:pt idx="16">
                  <c:v>9.5384949169352833</c:v>
                </c:pt>
                <c:pt idx="17">
                  <c:v>0</c:v>
                </c:pt>
                <c:pt idx="18">
                  <c:v>52.062670468633769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635904"/>
        <c:axId val="158655232"/>
      </c:lineChart>
      <c:catAx>
        <c:axId val="158635904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58655232"/>
        <c:crosses val="autoZero"/>
        <c:auto val="1"/>
        <c:lblAlgn val="ctr"/>
        <c:lblOffset val="100"/>
        <c:noMultiLvlLbl val="0"/>
      </c:catAx>
      <c:valAx>
        <c:axId val="158655232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58635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общей заболеваемости (дети 0-14 лет)  за 2019 год</a:t>
            </a:r>
          </a:p>
        </c:rich>
      </c:tx>
      <c:layout>
        <c:manualLayout>
          <c:xMode val="edge"/>
          <c:yMode val="edge"/>
          <c:x val="0.11002226229227995"/>
          <c:y val="2.1108179419525065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dLbl>
              <c:idx val="6"/>
              <c:layout>
                <c:manualLayout>
                  <c:x val="-3.8492702937633121E-2"/>
                  <c:y val="-5.6649145769707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7294549722850914E-2"/>
                  <c:y val="-3.9104053672915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Лист1!$C$8:$C$26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Лист1!$I$8:$I$26</c:f>
              <c:numCache>
                <c:formatCode>0.0</c:formatCode>
                <c:ptCount val="19"/>
                <c:pt idx="0">
                  <c:v>79.419719695106963</c:v>
                </c:pt>
                <c:pt idx="1">
                  <c:v>6.0650766330628638</c:v>
                </c:pt>
                <c:pt idx="2">
                  <c:v>9.0566347020736</c:v>
                </c:pt>
                <c:pt idx="3">
                  <c:v>22.948938611589213</c:v>
                </c:pt>
                <c:pt idx="4">
                  <c:v>20.490123760347512</c:v>
                </c:pt>
                <c:pt idx="5">
                  <c:v>103.39316449471355</c:v>
                </c:pt>
                <c:pt idx="6">
                  <c:v>123.35054503729202</c:v>
                </c:pt>
                <c:pt idx="7">
                  <c:v>22.948938611589213</c:v>
                </c:pt>
                <c:pt idx="8">
                  <c:v>9.9582001475288919</c:v>
                </c:pt>
                <c:pt idx="9">
                  <c:v>1741.1277764117694</c:v>
                </c:pt>
                <c:pt idx="10">
                  <c:v>103.68002622735841</c:v>
                </c:pt>
                <c:pt idx="11">
                  <c:v>92.369477911646584</c:v>
                </c:pt>
                <c:pt idx="12">
                  <c:v>53.028440291779361</c:v>
                </c:pt>
                <c:pt idx="13">
                  <c:v>34.341447422342434</c:v>
                </c:pt>
                <c:pt idx="14">
                  <c:v>0</c:v>
                </c:pt>
                <c:pt idx="15">
                  <c:v>6.5978198508318986</c:v>
                </c:pt>
                <c:pt idx="16">
                  <c:v>43.725924104581594</c:v>
                </c:pt>
                <c:pt idx="17">
                  <c:v>0</c:v>
                </c:pt>
                <c:pt idx="18">
                  <c:v>95.975739693467744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666752"/>
        <c:axId val="158669440"/>
      </c:lineChart>
      <c:catAx>
        <c:axId val="158666752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58669440"/>
        <c:crosses val="autoZero"/>
        <c:auto val="1"/>
        <c:lblAlgn val="ctr"/>
        <c:lblOffset val="100"/>
        <c:noMultiLvlLbl val="0"/>
      </c:catAx>
      <c:valAx>
        <c:axId val="158669440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586667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общей заболеваемости (подростки)  за 2019 год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Лист1!$C$8:$C$26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Лист1!$J$8:$J$26</c:f>
              <c:numCache>
                <c:formatCode>0.0</c:formatCode>
                <c:ptCount val="19"/>
                <c:pt idx="0">
                  <c:v>21.94437356468487</c:v>
                </c:pt>
                <c:pt idx="1">
                  <c:v>2.041337075784639</c:v>
                </c:pt>
                <c:pt idx="2">
                  <c:v>9.9515182444501153</c:v>
                </c:pt>
                <c:pt idx="3">
                  <c:v>52.819596835927534</c:v>
                </c:pt>
                <c:pt idx="4">
                  <c:v>44.654248532788976</c:v>
                </c:pt>
                <c:pt idx="5">
                  <c:v>76.550140341923964</c:v>
                </c:pt>
                <c:pt idx="6">
                  <c:v>34.702730288338863</c:v>
                </c:pt>
                <c:pt idx="7">
                  <c:v>11.227353916815515</c:v>
                </c:pt>
                <c:pt idx="8">
                  <c:v>18.882367951007911</c:v>
                </c:pt>
                <c:pt idx="9">
                  <c:v>623.11814238326099</c:v>
                </c:pt>
                <c:pt idx="10">
                  <c:v>79.101811686654756</c:v>
                </c:pt>
                <c:pt idx="11">
                  <c:v>82.674151569277882</c:v>
                </c:pt>
                <c:pt idx="12">
                  <c:v>125.03189589180913</c:v>
                </c:pt>
                <c:pt idx="13">
                  <c:v>60.219443735646848</c:v>
                </c:pt>
                <c:pt idx="14">
                  <c:v>0</c:v>
                </c:pt>
                <c:pt idx="15">
                  <c:v>0</c:v>
                </c:pt>
                <c:pt idx="16">
                  <c:v>17.096198009696352</c:v>
                </c:pt>
                <c:pt idx="17">
                  <c:v>0</c:v>
                </c:pt>
                <c:pt idx="18">
                  <c:v>162.54146465935187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682112"/>
        <c:axId val="158704384"/>
      </c:lineChart>
      <c:catAx>
        <c:axId val="158682112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58704384"/>
        <c:crosses val="autoZero"/>
        <c:auto val="1"/>
        <c:lblAlgn val="ctr"/>
        <c:lblOffset val="100"/>
        <c:noMultiLvlLbl val="0"/>
      </c:catAx>
      <c:valAx>
        <c:axId val="158704384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586821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Структура общей заболеваемости (подростки)  за 2019 год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Лист1!$C$8:$C$26</c:f>
              <c:strCache>
                <c:ptCount val="19"/>
                <c:pt idx="0">
                  <c:v>Некоторые инфекционные и паразитарные болезни</c:v>
                </c:pt>
                <c:pt idx="1">
                  <c:v>Новообразования</c:v>
                </c:pt>
                <c:pt idx="2">
                  <c:v>Болезни крови и кроветворных органов</c:v>
                </c:pt>
                <c:pt idx="3">
                  <c:v>Болезни эндокринной системы</c:v>
                </c:pt>
                <c:pt idx="4">
                  <c:v>Психические расстройства</c:v>
                </c:pt>
                <c:pt idx="5">
                  <c:v>Болезни нервной системы</c:v>
                </c:pt>
                <c:pt idx="6">
                  <c:v>Болезни глаза и его придаточного аппарата</c:v>
                </c:pt>
                <c:pt idx="7">
                  <c:v>Болезни уха и сосцевидного отростка</c:v>
                </c:pt>
                <c:pt idx="8">
                  <c:v>Болезни системы кровообращения</c:v>
                </c:pt>
                <c:pt idx="9">
                  <c:v>Болезни органов дыхания</c:v>
                </c:pt>
                <c:pt idx="10">
                  <c:v>Болезни органов пищеварения</c:v>
                </c:pt>
                <c:pt idx="11">
                  <c:v>Болезни кожи и подкожной клетчатки</c:v>
                </c:pt>
                <c:pt idx="12">
                  <c:v>Болезни костно-мышечной системы</c:v>
                </c:pt>
                <c:pt idx="13">
                  <c:v>Болезни мочеполовой системы</c:v>
                </c:pt>
                <c:pt idx="14">
                  <c:v>Беременность, роды и послеродовый период</c:v>
                </c:pt>
                <c:pt idx="15">
                  <c:v>Отдельные состояния, возникающие в перинатальном периоде</c:v>
                </c:pt>
                <c:pt idx="16">
                  <c:v>Врожденные аномалии</c:v>
                </c:pt>
                <c:pt idx="17">
                  <c:v>Симптомы, признаки и отклонения от нормы</c:v>
                </c:pt>
                <c:pt idx="18">
                  <c:v>Травмы, отравления и некоторые другие последствия воздействия внешних  причин</c:v>
                </c:pt>
              </c:strCache>
            </c:strRef>
          </c:cat>
          <c:val>
            <c:numRef>
              <c:f>Лист1!$K$8:$K$26</c:f>
              <c:numCache>
                <c:formatCode>0.0</c:formatCode>
                <c:ptCount val="19"/>
                <c:pt idx="0">
                  <c:v>71.047798679704172</c:v>
                </c:pt>
                <c:pt idx="1">
                  <c:v>45.922469846627287</c:v>
                </c:pt>
                <c:pt idx="2">
                  <c:v>12.398868317863702</c:v>
                </c:pt>
                <c:pt idx="3">
                  <c:v>128.71395244949619</c:v>
                </c:pt>
                <c:pt idx="4">
                  <c:v>17.68997865687199</c:v>
                </c:pt>
                <c:pt idx="5">
                  <c:v>36.819377574825033</c:v>
                </c:pt>
                <c:pt idx="6">
                  <c:v>71.325755695637071</c:v>
                </c:pt>
                <c:pt idx="7">
                  <c:v>27.229860525140218</c:v>
                </c:pt>
                <c:pt idx="8">
                  <c:v>169.75232044473123</c:v>
                </c:pt>
                <c:pt idx="9">
                  <c:v>165.40427855263812</c:v>
                </c:pt>
                <c:pt idx="10">
                  <c:v>102.14920335533826</c:v>
                </c:pt>
                <c:pt idx="11">
                  <c:v>53.8740259095647</c:v>
                </c:pt>
                <c:pt idx="12">
                  <c:v>207.81257755497097</c:v>
                </c:pt>
                <c:pt idx="13">
                  <c:v>136.45704075048394</c:v>
                </c:pt>
                <c:pt idx="14">
                  <c:v>1.8166476398471236</c:v>
                </c:pt>
                <c:pt idx="15">
                  <c:v>0</c:v>
                </c:pt>
                <c:pt idx="16">
                  <c:v>0.96292251948180874</c:v>
                </c:pt>
                <c:pt idx="17">
                  <c:v>0</c:v>
                </c:pt>
                <c:pt idx="18">
                  <c:v>37.127115699607884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8716672"/>
        <c:axId val="158734976"/>
      </c:lineChart>
      <c:catAx>
        <c:axId val="158716672"/>
        <c:scaling>
          <c:orientation val="minMax"/>
        </c:scaling>
        <c:delete val="0"/>
        <c:axPos val="b"/>
        <c:majorGridlines/>
        <c:numFmt formatCode="General" sourceLinked="0"/>
        <c:majorTickMark val="none"/>
        <c:minorTickMark val="none"/>
        <c:tickLblPos val="nextTo"/>
        <c:crossAx val="158734976"/>
        <c:crosses val="autoZero"/>
        <c:auto val="1"/>
        <c:lblAlgn val="ctr"/>
        <c:lblOffset val="100"/>
        <c:noMultiLvlLbl val="0"/>
      </c:catAx>
      <c:valAx>
        <c:axId val="158734976"/>
        <c:scaling>
          <c:orientation val="minMax"/>
        </c:scaling>
        <c:delete val="0"/>
        <c:axPos val="l"/>
        <c:majorGridlines/>
        <c:numFmt formatCode="0.0" sourceLinked="1"/>
        <c:majorTickMark val="none"/>
        <c:minorTickMark val="none"/>
        <c:tickLblPos val="nextTo"/>
        <c:crossAx val="158716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</c:title>
    <c:autoTitleDeleted val="0"/>
    <c:plotArea>
      <c:layout>
        <c:manualLayout>
          <c:layoutTarget val="inner"/>
          <c:xMode val="edge"/>
          <c:yMode val="edge"/>
          <c:x val="0.15452930728241596"/>
          <c:y val="4.4642857142857116E-2"/>
          <c:w val="0.34373691001385431"/>
          <c:h val="0.9553570706685067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spPr>
              <a:noFill/>
              <a:ln w="17842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561" b="1" i="0" u="none" strike="noStrike" kern="1200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4461" cap="flat" cmpd="sng" algn="ctr">
                  <a:solidFill>
                    <a:schemeClr val="tx1"/>
                  </a:solidFill>
                  <a:prstDash val="solid"/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Sheet1!$B$1:$F$1</c:f>
              <c:strCache>
                <c:ptCount val="5"/>
                <c:pt idx="0">
                  <c:v>I гр</c:v>
                </c:pt>
                <c:pt idx="1">
                  <c:v>II гр</c:v>
                </c:pt>
                <c:pt idx="2">
                  <c:v>III гр</c:v>
                </c:pt>
                <c:pt idx="3">
                  <c:v>IV гр</c:v>
                </c:pt>
                <c:pt idx="4">
                  <c:v>V гр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9.3000000000000007</c:v>
                </c:pt>
                <c:pt idx="1">
                  <c:v>80.8</c:v>
                </c:pt>
                <c:pt idx="2">
                  <c:v>8.5</c:v>
                </c:pt>
                <c:pt idx="3">
                  <c:v>0</c:v>
                </c:pt>
                <c:pt idx="4">
                  <c:v>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solidFill>
          <a:srgbClr val="FFFFFF"/>
        </a:solidFill>
        <a:ln w="17842">
          <a:noFill/>
        </a:ln>
      </c:spPr>
    </c:plotArea>
    <c:legend>
      <c:legendPos val="r"/>
      <c:layout>
        <c:manualLayout>
          <c:xMode val="edge"/>
          <c:yMode val="edge"/>
          <c:x val="0.69146986015492529"/>
          <c:y val="2.3443420504716359E-2"/>
          <c:w val="0.21708202103293184"/>
          <c:h val="0.82521473852464744"/>
        </c:manualLayout>
      </c:layout>
      <c:overlay val="0"/>
      <c:spPr>
        <a:noFill/>
        <a:ln w="2230">
          <a:solidFill>
            <a:srgbClr val="000000"/>
          </a:solidFill>
          <a:prstDash val="solid"/>
        </a:ln>
      </c:spPr>
      <c:txPr>
        <a:bodyPr rot="0" spcFirstLastPara="1" vertOverflow="ellipsis" vert="horz" wrap="square" anchor="ctr" anchorCtr="1"/>
        <a:lstStyle/>
        <a:p>
          <a:pPr>
            <a:defRPr sz="738" b="1" i="0" u="none" strike="noStrike" kern="1200" baseline="0">
              <a:ln>
                <a:noFill/>
              </a:ln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68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F5FC9-EB56-49CD-9639-51D779A8D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1881</TotalTime>
  <Pages>11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161</cp:revision>
  <cp:lastPrinted>2018-02-03T10:09:00Z</cp:lastPrinted>
  <dcterms:created xsi:type="dcterms:W3CDTF">2014-01-17T08:49:00Z</dcterms:created>
  <dcterms:modified xsi:type="dcterms:W3CDTF">2020-02-10T07:53:00Z</dcterms:modified>
</cp:coreProperties>
</file>