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3CE" w:rsidRPr="00B92AB6" w:rsidRDefault="009773CE" w:rsidP="009773CE">
      <w:pPr>
        <w:ind w:firstLine="709"/>
        <w:jc w:val="both"/>
        <w:rPr>
          <w:sz w:val="28"/>
          <w:szCs w:val="28"/>
          <w:lang w:eastAsia="en-US"/>
        </w:rPr>
      </w:pPr>
      <w:r w:rsidRPr="00B92AB6">
        <w:rPr>
          <w:sz w:val="28"/>
          <w:szCs w:val="28"/>
          <w:lang w:eastAsia="en-US"/>
        </w:rPr>
        <w:t xml:space="preserve">В </w:t>
      </w:r>
      <w:r>
        <w:rPr>
          <w:sz w:val="28"/>
          <w:szCs w:val="28"/>
          <w:lang w:eastAsia="en-US"/>
        </w:rPr>
        <w:t xml:space="preserve">третьем </w:t>
      </w:r>
      <w:r w:rsidRPr="00B92AB6">
        <w:rPr>
          <w:sz w:val="28"/>
          <w:szCs w:val="28"/>
          <w:lang w:eastAsia="en-US"/>
        </w:rPr>
        <w:t xml:space="preserve">квартале </w:t>
      </w:r>
      <w:proofErr w:type="gramStart"/>
      <w:r w:rsidRPr="00B92AB6">
        <w:rPr>
          <w:sz w:val="28"/>
          <w:szCs w:val="28"/>
          <w:lang w:eastAsia="en-US"/>
        </w:rPr>
        <w:t>20</w:t>
      </w:r>
      <w:r>
        <w:rPr>
          <w:sz w:val="28"/>
          <w:szCs w:val="28"/>
          <w:lang w:eastAsia="en-US"/>
        </w:rPr>
        <w:t xml:space="preserve">20  </w:t>
      </w:r>
      <w:r w:rsidRPr="00B92AB6">
        <w:rPr>
          <w:sz w:val="28"/>
          <w:szCs w:val="28"/>
          <w:lang w:eastAsia="en-US"/>
        </w:rPr>
        <w:t>службой</w:t>
      </w:r>
      <w:proofErr w:type="gramEnd"/>
      <w:r w:rsidRPr="00B92AB6">
        <w:rPr>
          <w:sz w:val="28"/>
          <w:szCs w:val="28"/>
          <w:lang w:eastAsia="en-US"/>
        </w:rPr>
        <w:t xml:space="preserve"> муниципального  контроля администрации города Нефтеюганска (далее – Служба)   осуществлялись контрольные функции органа местного самоуправления по следующим направлениям:</w:t>
      </w:r>
    </w:p>
    <w:p w:rsidR="009773CE" w:rsidRDefault="009773CE" w:rsidP="009773CE">
      <w:pPr>
        <w:ind w:firstLine="709"/>
        <w:jc w:val="center"/>
        <w:rPr>
          <w:b/>
          <w:sz w:val="28"/>
          <w:szCs w:val="28"/>
          <w:lang w:eastAsia="en-US"/>
        </w:rPr>
      </w:pPr>
    </w:p>
    <w:p w:rsidR="009773CE" w:rsidRPr="00B92AB6" w:rsidRDefault="009773CE" w:rsidP="009773CE">
      <w:pPr>
        <w:ind w:firstLine="709"/>
        <w:jc w:val="center"/>
        <w:rPr>
          <w:sz w:val="28"/>
          <w:szCs w:val="28"/>
          <w:lang w:eastAsia="en-US"/>
        </w:rPr>
      </w:pPr>
      <w:proofErr w:type="gramStart"/>
      <w:r w:rsidRPr="00B92AB6">
        <w:rPr>
          <w:b/>
          <w:sz w:val="28"/>
          <w:szCs w:val="28"/>
          <w:lang w:eastAsia="en-US"/>
        </w:rPr>
        <w:t>Муниципальный  жилищный</w:t>
      </w:r>
      <w:proofErr w:type="gramEnd"/>
      <w:r w:rsidRPr="00B92AB6">
        <w:rPr>
          <w:b/>
          <w:sz w:val="28"/>
          <w:szCs w:val="28"/>
          <w:lang w:eastAsia="en-US"/>
        </w:rPr>
        <w:t xml:space="preserve">  и дорожный контроль</w:t>
      </w:r>
    </w:p>
    <w:p w:rsidR="009773CE" w:rsidRDefault="009773CE" w:rsidP="009773CE">
      <w:pPr>
        <w:pStyle w:val="rtejustify"/>
        <w:tabs>
          <w:tab w:val="left" w:pos="720"/>
        </w:tabs>
        <w:spacing w:before="0" w:beforeAutospacing="0" w:after="0" w:afterAutospacing="0"/>
        <w:ind w:right="-2" w:firstLine="709"/>
        <w:jc w:val="both"/>
        <w:rPr>
          <w:sz w:val="28"/>
          <w:szCs w:val="28"/>
        </w:rPr>
      </w:pPr>
      <w:r w:rsidRPr="00B5206C">
        <w:rPr>
          <w:bCs/>
          <w:sz w:val="28"/>
          <w:szCs w:val="28"/>
          <w:shd w:val="clear" w:color="auto" w:fill="FFFFFF"/>
        </w:rPr>
        <w:t>Федеральным законом от 1 апреля 2020 г. № 98-ФЗ</w:t>
      </w:r>
      <w:r w:rsidRPr="00B5206C">
        <w:rPr>
          <w:sz w:val="28"/>
          <w:szCs w:val="28"/>
          <w:shd w:val="clear" w:color="auto" w:fill="FFFFFF"/>
        </w:rPr>
        <w:t> «О внесении изменений в отдельные законодательные акты Российской Федерации по вопросам предупреждения и ликвидации чрезвычайных ситуаций» (далее - Закон № 98-ФЗ) и </w:t>
      </w:r>
      <w:hyperlink r:id="rId4" w:history="1">
        <w:r w:rsidRPr="00B5206C">
          <w:rPr>
            <w:sz w:val="28"/>
            <w:szCs w:val="28"/>
            <w:shd w:val="clear" w:color="auto" w:fill="FFFFFF"/>
          </w:rPr>
          <w:t>постановлением Правительства Российской Федерации от 3 апреля 2020 г. № 438</w:t>
        </w:r>
      </w:hyperlink>
      <w:r w:rsidRPr="00B5206C">
        <w:rPr>
          <w:sz w:val="28"/>
          <w:szCs w:val="28"/>
          <w:shd w:val="clear" w:color="auto" w:fill="FFFFFF"/>
        </w:rPr>
        <w:t>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 438) </w:t>
      </w:r>
      <w:r w:rsidRPr="00B5206C">
        <w:rPr>
          <w:bCs/>
          <w:sz w:val="28"/>
          <w:szCs w:val="28"/>
          <w:shd w:val="clear" w:color="auto" w:fill="FFFFFF"/>
        </w:rPr>
        <w:t>в редакции </w:t>
      </w:r>
      <w:hyperlink r:id="rId5" w:tgtFrame="_blank" w:history="1">
        <w:r w:rsidRPr="00B5206C">
          <w:rPr>
            <w:bCs/>
            <w:sz w:val="28"/>
            <w:szCs w:val="28"/>
            <w:shd w:val="clear" w:color="auto" w:fill="FFFFFF"/>
          </w:rPr>
          <w:t>постановления Правительства Российской Федерации от 22 апреля 2020 г. № 557</w:t>
        </w:r>
      </w:hyperlink>
      <w:r w:rsidRPr="00461BA2">
        <w:rPr>
          <w:bCs/>
          <w:sz w:val="28"/>
          <w:szCs w:val="28"/>
          <w:shd w:val="clear" w:color="auto" w:fill="FFFFFF"/>
        </w:rPr>
        <w:t xml:space="preserve">                </w:t>
      </w:r>
      <w:r w:rsidRPr="00B5206C">
        <w:rPr>
          <w:sz w:val="28"/>
          <w:szCs w:val="28"/>
          <w:shd w:val="clear" w:color="auto" w:fill="FFFFFF"/>
        </w:rPr>
        <w:t>«О внесении изменений в некоторые акты Правительства Российской Федерации в части установления особенностей осуществления контрольно-надзорной и разрешительной деятельности в 2020 году» </w:t>
      </w:r>
      <w:r w:rsidRPr="00B5206C">
        <w:rPr>
          <w:bCs/>
          <w:sz w:val="28"/>
          <w:szCs w:val="28"/>
          <w:shd w:val="clear" w:color="auto" w:fill="FFFFFF"/>
        </w:rPr>
        <w:t>определены особенности осуществления контрольно-надзорной деятельности на период до 31 декабря 2020 г.</w:t>
      </w:r>
    </w:p>
    <w:p w:rsidR="009773CE" w:rsidRPr="00B5206C" w:rsidRDefault="009773CE" w:rsidP="009773CE">
      <w:pPr>
        <w:pStyle w:val="rtejustify"/>
        <w:tabs>
          <w:tab w:val="left" w:pos="720"/>
        </w:tabs>
        <w:spacing w:before="0" w:beforeAutospacing="0" w:after="0" w:afterAutospacing="0"/>
        <w:ind w:right="-2" w:firstLine="709"/>
        <w:jc w:val="both"/>
        <w:rPr>
          <w:sz w:val="28"/>
          <w:szCs w:val="28"/>
        </w:rPr>
      </w:pPr>
      <w:r w:rsidRPr="00B5206C">
        <w:rPr>
          <w:sz w:val="28"/>
          <w:szCs w:val="28"/>
        </w:rPr>
        <w:t>Пункты 1, 2, 6, 7 и 7</w:t>
      </w:r>
      <w:r w:rsidRPr="00B5206C">
        <w:rPr>
          <w:sz w:val="28"/>
          <w:szCs w:val="28"/>
          <w:vertAlign w:val="superscript"/>
        </w:rPr>
        <w:t>1</w:t>
      </w:r>
      <w:r w:rsidRPr="00B5206C">
        <w:rPr>
          <w:sz w:val="28"/>
          <w:szCs w:val="28"/>
        </w:rPr>
        <w:t> </w:t>
      </w:r>
      <w:r>
        <w:rPr>
          <w:sz w:val="28"/>
          <w:szCs w:val="28"/>
        </w:rPr>
        <w:t xml:space="preserve"> </w:t>
      </w:r>
      <w:hyperlink r:id="rId6" w:tgtFrame="_blank" w:history="1">
        <w:r w:rsidRPr="00B5206C">
          <w:rPr>
            <w:rStyle w:val="a4"/>
            <w:sz w:val="28"/>
            <w:szCs w:val="28"/>
          </w:rPr>
          <w:t>Постановления № 438</w:t>
        </w:r>
      </w:hyperlink>
      <w:r w:rsidRPr="00B5206C">
        <w:rPr>
          <w:bCs/>
          <w:sz w:val="28"/>
          <w:szCs w:val="28"/>
        </w:rPr>
        <w:t> устанавливают перечень оснований и формы проведения внеплановых проверок в 2020 г.</w:t>
      </w:r>
    </w:p>
    <w:p w:rsidR="009773CE" w:rsidRPr="00B5206C" w:rsidRDefault="009773CE" w:rsidP="009773CE">
      <w:pPr>
        <w:pStyle w:val="rtejustify"/>
        <w:tabs>
          <w:tab w:val="left" w:pos="720"/>
        </w:tabs>
        <w:spacing w:before="0" w:beforeAutospacing="0" w:after="0" w:afterAutospacing="0"/>
        <w:ind w:right="-2" w:firstLine="709"/>
        <w:jc w:val="both"/>
        <w:rPr>
          <w:sz w:val="28"/>
          <w:szCs w:val="28"/>
        </w:rPr>
      </w:pPr>
      <w:r w:rsidRPr="00B5206C">
        <w:rPr>
          <w:sz w:val="28"/>
          <w:szCs w:val="28"/>
        </w:rPr>
        <w:t>При наличии фактов причинения вреда жизни, здоровью граждан или угрозы причинения вреда жизни, здоровью граждан, возникновении чрезвычайных ситуаций природного и техногенного характера внеплановые проверки проводятся по согласованию с органами прокуратуры. При этом необходимо согласовывать с органами прокуратуры выездной характер таких проверок.</w:t>
      </w:r>
    </w:p>
    <w:p w:rsidR="009773CE" w:rsidRDefault="009773CE" w:rsidP="009773CE">
      <w:pPr>
        <w:pStyle w:val="rtejustify"/>
        <w:tabs>
          <w:tab w:val="left" w:pos="720"/>
        </w:tabs>
        <w:spacing w:before="0" w:beforeAutospacing="0" w:after="0" w:afterAutospacing="0"/>
        <w:ind w:right="-2" w:firstLine="709"/>
        <w:jc w:val="both"/>
        <w:rPr>
          <w:sz w:val="28"/>
          <w:szCs w:val="28"/>
        </w:rPr>
      </w:pPr>
      <w:r w:rsidRPr="00B5206C">
        <w:rPr>
          <w:sz w:val="28"/>
          <w:szCs w:val="28"/>
        </w:rPr>
        <w:t>Аналогичные требования установлены для проверок, проводимых в целях проверки исполнения ранее выданного предписания о принятии мер, направленных на устранение нарушений, влекущих непосредственную угрозу причинения вреда жизни и здоровью граждан.</w:t>
      </w:r>
    </w:p>
    <w:p w:rsidR="009773CE" w:rsidRPr="00461BA2" w:rsidRDefault="009773CE" w:rsidP="009773CE">
      <w:pPr>
        <w:pStyle w:val="rtejustify"/>
        <w:tabs>
          <w:tab w:val="left" w:pos="720"/>
        </w:tabs>
        <w:spacing w:before="0" w:beforeAutospacing="0" w:after="0" w:afterAutospacing="0"/>
        <w:ind w:right="-2" w:firstLine="709"/>
        <w:jc w:val="both"/>
        <w:rPr>
          <w:sz w:val="28"/>
          <w:szCs w:val="28"/>
        </w:rPr>
      </w:pPr>
      <w:r w:rsidRPr="00461BA2">
        <w:rPr>
          <w:sz w:val="28"/>
          <w:szCs w:val="28"/>
        </w:rPr>
        <w:t xml:space="preserve">Органом </w:t>
      </w:r>
      <w:proofErr w:type="gramStart"/>
      <w:r w:rsidRPr="00461BA2">
        <w:rPr>
          <w:sz w:val="28"/>
          <w:szCs w:val="28"/>
        </w:rPr>
        <w:t xml:space="preserve">муниципального  </w:t>
      </w:r>
      <w:r>
        <w:rPr>
          <w:sz w:val="28"/>
          <w:szCs w:val="28"/>
        </w:rPr>
        <w:t>жилищного</w:t>
      </w:r>
      <w:proofErr w:type="gramEnd"/>
      <w:r>
        <w:rPr>
          <w:sz w:val="28"/>
          <w:szCs w:val="28"/>
        </w:rPr>
        <w:t xml:space="preserve"> </w:t>
      </w:r>
      <w:r w:rsidRPr="00461BA2">
        <w:rPr>
          <w:sz w:val="28"/>
          <w:szCs w:val="28"/>
        </w:rPr>
        <w:t xml:space="preserve">контроля города Нефтеюганска в  </w:t>
      </w:r>
      <w:r w:rsidRPr="00461BA2">
        <w:rPr>
          <w:sz w:val="28"/>
          <w:szCs w:val="28"/>
          <w:lang w:val="en-US"/>
        </w:rPr>
        <w:t>III</w:t>
      </w:r>
      <w:r w:rsidRPr="00461BA2">
        <w:rPr>
          <w:sz w:val="28"/>
          <w:szCs w:val="28"/>
        </w:rPr>
        <w:t xml:space="preserve"> квартале 2020 года в соответствии с вышеуказанными нормами на согласование  в </w:t>
      </w:r>
      <w:proofErr w:type="spellStart"/>
      <w:r w:rsidRPr="00461BA2">
        <w:rPr>
          <w:sz w:val="28"/>
          <w:szCs w:val="28"/>
        </w:rPr>
        <w:t>Нефтеюганскую</w:t>
      </w:r>
      <w:proofErr w:type="spellEnd"/>
      <w:r w:rsidRPr="00461BA2">
        <w:rPr>
          <w:sz w:val="28"/>
          <w:szCs w:val="28"/>
        </w:rPr>
        <w:t xml:space="preserve"> межрайонную прокуратуру были направлены </w:t>
      </w:r>
      <w:r>
        <w:rPr>
          <w:sz w:val="28"/>
          <w:szCs w:val="28"/>
        </w:rPr>
        <w:t xml:space="preserve">16 заявлений </w:t>
      </w:r>
      <w:r w:rsidRPr="00461BA2">
        <w:rPr>
          <w:sz w:val="28"/>
          <w:szCs w:val="28"/>
        </w:rPr>
        <w:t xml:space="preserve"> о согласовании органом государственного контроля (надзора), органом муниципального  контроля с органом прокуратуры </w:t>
      </w:r>
      <w:r>
        <w:rPr>
          <w:sz w:val="28"/>
          <w:szCs w:val="28"/>
        </w:rPr>
        <w:t xml:space="preserve">проведения внеплановой выездной </w:t>
      </w:r>
      <w:r w:rsidRPr="00461BA2">
        <w:rPr>
          <w:sz w:val="28"/>
          <w:szCs w:val="28"/>
        </w:rPr>
        <w:t xml:space="preserve">проверки юридического лица, индивидуального  предпринимателя в отношении </w:t>
      </w:r>
      <w:r>
        <w:rPr>
          <w:sz w:val="28"/>
          <w:szCs w:val="28"/>
        </w:rPr>
        <w:t>управляющий организаций.</w:t>
      </w:r>
    </w:p>
    <w:p w:rsidR="009773CE" w:rsidRDefault="009773CE" w:rsidP="009773CE">
      <w:pPr>
        <w:pStyle w:val="1"/>
        <w:keepNext w:val="0"/>
        <w:autoSpaceDE w:val="0"/>
        <w:autoSpaceDN w:val="0"/>
        <w:adjustRightInd w:val="0"/>
        <w:ind w:firstLine="709"/>
        <w:rPr>
          <w:szCs w:val="28"/>
        </w:rPr>
      </w:pPr>
      <w:r>
        <w:rPr>
          <w:szCs w:val="28"/>
        </w:rPr>
        <w:t xml:space="preserve">Органом </w:t>
      </w:r>
      <w:proofErr w:type="gramStart"/>
      <w:r>
        <w:rPr>
          <w:szCs w:val="28"/>
        </w:rPr>
        <w:t>прокуратуры  согласовано</w:t>
      </w:r>
      <w:proofErr w:type="gramEnd"/>
      <w:r>
        <w:rPr>
          <w:szCs w:val="28"/>
        </w:rPr>
        <w:t xml:space="preserve"> лишь 5 заявлений (из них 4 по обращениям граждан, 1 исполнение ранее выданного предписания). По </w:t>
      </w:r>
      <w:proofErr w:type="gramStart"/>
      <w:r>
        <w:rPr>
          <w:szCs w:val="28"/>
        </w:rPr>
        <w:t>11  отказано</w:t>
      </w:r>
      <w:proofErr w:type="gramEnd"/>
      <w:r>
        <w:rPr>
          <w:szCs w:val="28"/>
        </w:rPr>
        <w:t xml:space="preserve"> по основаниям подпункта 2 части 11 статьи 10 Федерального закона от 26.12.2008                  № 294-ФЗ «О защите прав юридических лиц и </w:t>
      </w:r>
      <w:r>
        <w:rPr>
          <w:szCs w:val="28"/>
        </w:rPr>
        <w:lastRenderedPageBreak/>
        <w:t>индивидуальных предпринимателей при осуществлении государственного контроля (надзора) и муниципального контроля» (далее – ФЗ от 26.12.2008 № 294-ФЗ).</w:t>
      </w:r>
    </w:p>
    <w:p w:rsidR="009773CE" w:rsidRDefault="009773CE" w:rsidP="009773CE">
      <w:pPr>
        <w:ind w:firstLine="709"/>
        <w:jc w:val="both"/>
        <w:rPr>
          <w:sz w:val="28"/>
          <w:szCs w:val="28"/>
          <w:lang w:eastAsia="en-US"/>
        </w:rPr>
      </w:pPr>
      <w:r w:rsidRPr="002C456E">
        <w:rPr>
          <w:sz w:val="28"/>
          <w:szCs w:val="28"/>
          <w:lang w:eastAsia="en-US"/>
        </w:rPr>
        <w:t xml:space="preserve">В целях принятия решения о возбуждении дела об административном </w:t>
      </w:r>
      <w:proofErr w:type="gramStart"/>
      <w:r w:rsidRPr="002C456E">
        <w:rPr>
          <w:sz w:val="28"/>
          <w:szCs w:val="28"/>
          <w:lang w:eastAsia="en-US"/>
        </w:rPr>
        <w:t>правонарушении,  предусмотренного</w:t>
      </w:r>
      <w:proofErr w:type="gramEnd"/>
      <w:r w:rsidRPr="002C456E">
        <w:rPr>
          <w:sz w:val="28"/>
          <w:szCs w:val="28"/>
          <w:lang w:eastAsia="en-US"/>
        </w:rPr>
        <w:t xml:space="preserve">  частью 2 статьи 14.1.3 КоАП РФ Службой направлен 1 материал проверки в Нефтеюганский отдел  инспектирования Службы жилищного и строительного надзора Ханты-Мансийского автономного округа – Югры. По итогам рассмотрения материалов проверок </w:t>
      </w:r>
      <w:proofErr w:type="gramStart"/>
      <w:r w:rsidRPr="002C456E">
        <w:rPr>
          <w:sz w:val="28"/>
          <w:szCs w:val="28"/>
          <w:lang w:eastAsia="en-US"/>
        </w:rPr>
        <w:t>управляющ</w:t>
      </w:r>
      <w:r>
        <w:rPr>
          <w:sz w:val="28"/>
          <w:szCs w:val="28"/>
          <w:lang w:eastAsia="en-US"/>
        </w:rPr>
        <w:t xml:space="preserve">ей </w:t>
      </w:r>
      <w:r w:rsidRPr="002C456E">
        <w:rPr>
          <w:sz w:val="28"/>
          <w:szCs w:val="28"/>
          <w:lang w:eastAsia="en-US"/>
        </w:rPr>
        <w:t xml:space="preserve"> организаци</w:t>
      </w:r>
      <w:r>
        <w:rPr>
          <w:sz w:val="28"/>
          <w:szCs w:val="28"/>
          <w:lang w:eastAsia="en-US"/>
        </w:rPr>
        <w:t>и</w:t>
      </w:r>
      <w:proofErr w:type="gramEnd"/>
      <w:r w:rsidRPr="002C456E">
        <w:rPr>
          <w:sz w:val="28"/>
          <w:szCs w:val="28"/>
          <w:lang w:eastAsia="en-US"/>
        </w:rPr>
        <w:t xml:space="preserve">  </w:t>
      </w:r>
      <w:r>
        <w:rPr>
          <w:sz w:val="28"/>
          <w:szCs w:val="28"/>
          <w:lang w:eastAsia="en-US"/>
        </w:rPr>
        <w:t xml:space="preserve"> АО «Городское  </w:t>
      </w:r>
      <w:proofErr w:type="spellStart"/>
      <w:r>
        <w:rPr>
          <w:sz w:val="28"/>
          <w:szCs w:val="28"/>
          <w:lang w:eastAsia="en-US"/>
        </w:rPr>
        <w:t>Домо</w:t>
      </w:r>
      <w:proofErr w:type="spellEnd"/>
      <w:r>
        <w:rPr>
          <w:sz w:val="28"/>
          <w:szCs w:val="28"/>
          <w:lang w:eastAsia="en-US"/>
        </w:rPr>
        <w:t xml:space="preserve"> Управление 5» назначено  административное наказание в виде штрафа в размере 250 000 (двести пятьдесят тысяч) рублей 00  копеек.</w:t>
      </w:r>
    </w:p>
    <w:p w:rsidR="009773CE" w:rsidRDefault="009773CE" w:rsidP="009773CE">
      <w:pPr>
        <w:ind w:firstLine="709"/>
        <w:jc w:val="both"/>
        <w:rPr>
          <w:sz w:val="28"/>
          <w:szCs w:val="28"/>
        </w:rPr>
      </w:pPr>
      <w:r w:rsidRPr="001D5E89">
        <w:rPr>
          <w:sz w:val="28"/>
          <w:szCs w:val="28"/>
        </w:rPr>
        <w:t xml:space="preserve">Принято участие </w:t>
      </w:r>
      <w:r>
        <w:rPr>
          <w:sz w:val="28"/>
          <w:szCs w:val="28"/>
        </w:rPr>
        <w:t>заседаниях</w:t>
      </w:r>
      <w:r w:rsidRPr="001D5E89">
        <w:rPr>
          <w:sz w:val="28"/>
          <w:szCs w:val="28"/>
        </w:rPr>
        <w:t xml:space="preserve"> комиссии по обследованию жилых помещений инвалидов и общего имущества в многоквартирном доме с учетом потребностей инвалидов, в целях их приспособления с учетом потребностей инвалидов и обеспечения условий их доступности для инвалидов.</w:t>
      </w:r>
      <w:r>
        <w:rPr>
          <w:sz w:val="28"/>
          <w:szCs w:val="28"/>
        </w:rPr>
        <w:t xml:space="preserve"> Также принято участие в заседаниях </w:t>
      </w:r>
      <w:proofErr w:type="gramStart"/>
      <w:r>
        <w:rPr>
          <w:sz w:val="28"/>
          <w:szCs w:val="28"/>
        </w:rPr>
        <w:t>комиссии  по</w:t>
      </w:r>
      <w:proofErr w:type="gramEnd"/>
      <w:r>
        <w:rPr>
          <w:sz w:val="28"/>
          <w:szCs w:val="28"/>
        </w:rPr>
        <w:t xml:space="preserve"> переводу жилых помещений в нежилые помещения и нежилых помещений в  жилые помещения города Нефтеюганска.</w:t>
      </w:r>
    </w:p>
    <w:p w:rsidR="009773CE" w:rsidRDefault="009773CE" w:rsidP="009773CE">
      <w:pPr>
        <w:ind w:firstLine="709"/>
        <w:jc w:val="both"/>
        <w:rPr>
          <w:sz w:val="28"/>
          <w:szCs w:val="28"/>
          <w:lang w:eastAsia="en-US"/>
        </w:rPr>
      </w:pPr>
      <w:r w:rsidRPr="00B92AB6">
        <w:rPr>
          <w:sz w:val="28"/>
          <w:szCs w:val="28"/>
          <w:lang w:eastAsia="en-US"/>
        </w:rPr>
        <w:t xml:space="preserve">Проведены комиссионные обследования (совместно с департаментом муниципального имущества администрации города </w:t>
      </w:r>
      <w:proofErr w:type="gramStart"/>
      <w:r w:rsidRPr="00B92AB6">
        <w:rPr>
          <w:sz w:val="28"/>
          <w:szCs w:val="28"/>
          <w:lang w:eastAsia="en-US"/>
        </w:rPr>
        <w:t xml:space="preserve">Нефтеюганска, </w:t>
      </w:r>
      <w:r>
        <w:rPr>
          <w:sz w:val="28"/>
          <w:szCs w:val="28"/>
          <w:lang w:eastAsia="en-US"/>
        </w:rPr>
        <w:t xml:space="preserve"> застройщиком</w:t>
      </w:r>
      <w:proofErr w:type="gramEnd"/>
      <w:r>
        <w:rPr>
          <w:sz w:val="28"/>
          <w:szCs w:val="28"/>
          <w:lang w:eastAsia="en-US"/>
        </w:rPr>
        <w:t xml:space="preserve"> ООО СЗ «Инвест-Строй)  24</w:t>
      </w:r>
      <w:r w:rsidRPr="00B92AB6">
        <w:rPr>
          <w:sz w:val="28"/>
          <w:szCs w:val="28"/>
          <w:lang w:eastAsia="en-US"/>
        </w:rPr>
        <w:t xml:space="preserve"> муниципальных квартир, </w:t>
      </w:r>
      <w:r w:rsidRPr="00A26F7A">
        <w:rPr>
          <w:sz w:val="28"/>
          <w:szCs w:val="28"/>
          <w:lang w:eastAsia="en-US"/>
        </w:rPr>
        <w:t>расположенных</w:t>
      </w:r>
      <w:r>
        <w:rPr>
          <w:sz w:val="28"/>
          <w:szCs w:val="28"/>
          <w:lang w:eastAsia="en-US"/>
        </w:rPr>
        <w:t xml:space="preserve"> по адресу: г. Нефтеюганск, 5 </w:t>
      </w:r>
      <w:r w:rsidRPr="00A26F7A">
        <w:rPr>
          <w:sz w:val="28"/>
          <w:szCs w:val="28"/>
          <w:lang w:eastAsia="en-US"/>
        </w:rPr>
        <w:t>микрорайон,</w:t>
      </w:r>
      <w:r>
        <w:rPr>
          <w:sz w:val="28"/>
          <w:szCs w:val="28"/>
          <w:lang w:eastAsia="en-US"/>
        </w:rPr>
        <w:t xml:space="preserve"> дом № 49</w:t>
      </w:r>
      <w:r w:rsidRPr="00A26F7A">
        <w:rPr>
          <w:sz w:val="28"/>
          <w:szCs w:val="28"/>
          <w:lang w:eastAsia="en-US"/>
        </w:rPr>
        <w:t>,</w:t>
      </w:r>
      <w:r w:rsidRPr="00B92AB6">
        <w:rPr>
          <w:sz w:val="28"/>
          <w:szCs w:val="28"/>
          <w:lang w:eastAsia="en-US"/>
        </w:rPr>
        <w:t xml:space="preserve">приобретенных в рамках  программы «Обеспечение доступным и комфортным жильем жителей города Нефтеюганска 2014-2020 годах».  </w:t>
      </w:r>
      <w:r>
        <w:rPr>
          <w:sz w:val="28"/>
          <w:szCs w:val="28"/>
          <w:lang w:eastAsia="en-US"/>
        </w:rPr>
        <w:t xml:space="preserve">Также обследовано 11 жилых </w:t>
      </w:r>
      <w:proofErr w:type="gramStart"/>
      <w:r>
        <w:rPr>
          <w:sz w:val="28"/>
          <w:szCs w:val="28"/>
          <w:lang w:eastAsia="en-US"/>
        </w:rPr>
        <w:t>помещений,  расположенных</w:t>
      </w:r>
      <w:proofErr w:type="gramEnd"/>
      <w:r>
        <w:rPr>
          <w:sz w:val="28"/>
          <w:szCs w:val="28"/>
          <w:lang w:eastAsia="en-US"/>
        </w:rPr>
        <w:t xml:space="preserve"> в многоквартирных домах №№ 7, 9, 11 микрорайона 11В на предмет выявления строительных недостатков и дефектов для устранения таких недостатков застройщиком. Акты осмотра направляются в департамент </w:t>
      </w:r>
      <w:proofErr w:type="gramStart"/>
      <w:r>
        <w:rPr>
          <w:sz w:val="28"/>
          <w:szCs w:val="28"/>
          <w:lang w:eastAsia="en-US"/>
        </w:rPr>
        <w:t>муниципального  имущества</w:t>
      </w:r>
      <w:proofErr w:type="gramEnd"/>
      <w:r>
        <w:rPr>
          <w:sz w:val="28"/>
          <w:szCs w:val="28"/>
          <w:lang w:eastAsia="en-US"/>
        </w:rPr>
        <w:t xml:space="preserve"> для проведения </w:t>
      </w:r>
      <w:proofErr w:type="spellStart"/>
      <w:r>
        <w:rPr>
          <w:sz w:val="28"/>
          <w:szCs w:val="28"/>
          <w:lang w:eastAsia="en-US"/>
        </w:rPr>
        <w:t>претензионно</w:t>
      </w:r>
      <w:proofErr w:type="spellEnd"/>
      <w:r>
        <w:rPr>
          <w:sz w:val="28"/>
          <w:szCs w:val="28"/>
          <w:lang w:eastAsia="en-US"/>
        </w:rPr>
        <w:t>-судебной работы в отношении Застройщика, направленных  на устранение строительных недостатков в рамках гарантийного срока.</w:t>
      </w:r>
    </w:p>
    <w:p w:rsidR="009773CE" w:rsidRPr="008E6E85" w:rsidRDefault="009773CE" w:rsidP="009773CE">
      <w:pPr>
        <w:ind w:firstLine="709"/>
        <w:jc w:val="both"/>
        <w:rPr>
          <w:sz w:val="28"/>
          <w:szCs w:val="28"/>
          <w:lang w:eastAsia="en-US"/>
        </w:rPr>
      </w:pPr>
      <w:r>
        <w:rPr>
          <w:sz w:val="28"/>
          <w:szCs w:val="28"/>
          <w:lang w:eastAsia="en-US"/>
        </w:rPr>
        <w:t xml:space="preserve"> </w:t>
      </w:r>
      <w:r w:rsidRPr="008E6E85">
        <w:rPr>
          <w:sz w:val="28"/>
          <w:szCs w:val="28"/>
          <w:lang w:eastAsia="en-US"/>
        </w:rPr>
        <w:t xml:space="preserve">За отчетный период сектором муниципального </w:t>
      </w:r>
      <w:proofErr w:type="gramStart"/>
      <w:r w:rsidRPr="008E6E85">
        <w:rPr>
          <w:sz w:val="28"/>
          <w:szCs w:val="28"/>
          <w:lang w:eastAsia="en-US"/>
        </w:rPr>
        <w:t>жилищного  и</w:t>
      </w:r>
      <w:proofErr w:type="gramEnd"/>
      <w:r w:rsidRPr="008E6E85">
        <w:rPr>
          <w:sz w:val="28"/>
          <w:szCs w:val="28"/>
          <w:lang w:eastAsia="en-US"/>
        </w:rPr>
        <w:t xml:space="preserve"> дорожного  контроля проведены плановые рейдовые осмотры территории микрорайонов города в части </w:t>
      </w:r>
      <w:r>
        <w:rPr>
          <w:sz w:val="28"/>
          <w:szCs w:val="28"/>
          <w:lang w:eastAsia="en-US"/>
        </w:rPr>
        <w:t>содержания придомовых  территорий на предмет обеспечения санитарно-эпидемиологических  требований соблюдение юридическими лицами обязательных  требований в жилищной сфере в части содержания многоквартирных домов на предмет захламления мест  общего пользования.</w:t>
      </w:r>
    </w:p>
    <w:p w:rsidR="009773CE" w:rsidRPr="008E6E85" w:rsidRDefault="009773CE" w:rsidP="009773CE">
      <w:pPr>
        <w:ind w:firstLine="709"/>
        <w:jc w:val="both"/>
        <w:rPr>
          <w:sz w:val="28"/>
          <w:szCs w:val="28"/>
          <w:lang w:eastAsia="en-US"/>
        </w:rPr>
      </w:pPr>
      <w:r w:rsidRPr="008E6E85">
        <w:rPr>
          <w:sz w:val="28"/>
          <w:szCs w:val="28"/>
          <w:lang w:eastAsia="en-US"/>
        </w:rPr>
        <w:t xml:space="preserve">По итогам осмотров специалистами службой </w:t>
      </w:r>
      <w:proofErr w:type="gramStart"/>
      <w:r w:rsidRPr="008E6E85">
        <w:rPr>
          <w:sz w:val="28"/>
          <w:szCs w:val="28"/>
          <w:lang w:eastAsia="en-US"/>
        </w:rPr>
        <w:t>муниципального  контроля</w:t>
      </w:r>
      <w:proofErr w:type="gramEnd"/>
      <w:r w:rsidRPr="008E6E85">
        <w:rPr>
          <w:sz w:val="28"/>
          <w:szCs w:val="28"/>
          <w:lang w:eastAsia="en-US"/>
        </w:rPr>
        <w:t xml:space="preserve"> администрации города Нефтеюганска проведено </w:t>
      </w:r>
      <w:r>
        <w:rPr>
          <w:sz w:val="28"/>
          <w:szCs w:val="28"/>
          <w:lang w:eastAsia="en-US"/>
        </w:rPr>
        <w:t>3</w:t>
      </w:r>
      <w:r w:rsidRPr="008E6E85">
        <w:rPr>
          <w:sz w:val="28"/>
          <w:szCs w:val="28"/>
          <w:lang w:eastAsia="en-US"/>
        </w:rPr>
        <w:t xml:space="preserve"> рейдовых осмотров</w:t>
      </w:r>
      <w:r>
        <w:rPr>
          <w:sz w:val="28"/>
          <w:szCs w:val="28"/>
          <w:lang w:eastAsia="en-US"/>
        </w:rPr>
        <w:t>.</w:t>
      </w:r>
    </w:p>
    <w:p w:rsidR="009773CE" w:rsidRDefault="009773CE" w:rsidP="009773CE">
      <w:pPr>
        <w:ind w:firstLine="709"/>
        <w:jc w:val="both"/>
        <w:rPr>
          <w:sz w:val="28"/>
          <w:szCs w:val="28"/>
          <w:lang w:eastAsia="en-US"/>
        </w:rPr>
      </w:pPr>
      <w:r w:rsidRPr="008E6E85">
        <w:rPr>
          <w:sz w:val="28"/>
          <w:szCs w:val="28"/>
          <w:lang w:eastAsia="en-US"/>
        </w:rPr>
        <w:t xml:space="preserve">В адрес управляющих организаций города направлено </w:t>
      </w:r>
      <w:r>
        <w:rPr>
          <w:sz w:val="28"/>
          <w:szCs w:val="28"/>
          <w:lang w:eastAsia="en-US"/>
        </w:rPr>
        <w:t>3</w:t>
      </w:r>
      <w:r w:rsidRPr="008E6E85">
        <w:rPr>
          <w:sz w:val="28"/>
          <w:szCs w:val="28"/>
          <w:lang w:eastAsia="en-US"/>
        </w:rPr>
        <w:t xml:space="preserve"> предостережени</w:t>
      </w:r>
      <w:r>
        <w:rPr>
          <w:sz w:val="28"/>
          <w:szCs w:val="28"/>
          <w:lang w:eastAsia="en-US"/>
        </w:rPr>
        <w:t>я</w:t>
      </w:r>
      <w:r w:rsidRPr="008E6E85">
        <w:rPr>
          <w:sz w:val="28"/>
          <w:szCs w:val="28"/>
          <w:lang w:eastAsia="en-US"/>
        </w:rPr>
        <w:t xml:space="preserve"> о недопустимости нарушений обязательных требований.</w:t>
      </w:r>
    </w:p>
    <w:p w:rsidR="009773CE" w:rsidRPr="00B92AB6" w:rsidRDefault="009773CE" w:rsidP="009773CE">
      <w:pPr>
        <w:ind w:firstLine="709"/>
        <w:jc w:val="both"/>
        <w:rPr>
          <w:sz w:val="28"/>
          <w:szCs w:val="28"/>
          <w:lang w:eastAsia="en-US"/>
        </w:rPr>
      </w:pPr>
      <w:r w:rsidRPr="00B92AB6">
        <w:rPr>
          <w:sz w:val="28"/>
          <w:szCs w:val="28"/>
          <w:lang w:eastAsia="en-US"/>
        </w:rPr>
        <w:t>Сектором муниципального жилищного и дорожно</w:t>
      </w:r>
      <w:r>
        <w:rPr>
          <w:sz w:val="28"/>
          <w:szCs w:val="28"/>
          <w:lang w:eastAsia="en-US"/>
        </w:rPr>
        <w:t xml:space="preserve">го контроля Службы                    </w:t>
      </w:r>
      <w:proofErr w:type="gramStart"/>
      <w:r>
        <w:rPr>
          <w:sz w:val="28"/>
          <w:szCs w:val="28"/>
          <w:lang w:eastAsia="en-US"/>
        </w:rPr>
        <w:t>рассмотрено  5</w:t>
      </w:r>
      <w:proofErr w:type="gramEnd"/>
      <w:r>
        <w:rPr>
          <w:sz w:val="28"/>
          <w:szCs w:val="28"/>
          <w:lang w:eastAsia="en-US"/>
        </w:rPr>
        <w:t xml:space="preserve"> </w:t>
      </w:r>
      <w:r w:rsidRPr="00B92AB6">
        <w:rPr>
          <w:sz w:val="28"/>
          <w:szCs w:val="28"/>
          <w:lang w:eastAsia="en-US"/>
        </w:rPr>
        <w:t>обращений граждан и юридических лиц.</w:t>
      </w:r>
    </w:p>
    <w:p w:rsidR="009773CE" w:rsidRPr="00B92AB6" w:rsidRDefault="009773CE" w:rsidP="009773CE">
      <w:pPr>
        <w:ind w:firstLine="709"/>
        <w:jc w:val="both"/>
        <w:rPr>
          <w:sz w:val="28"/>
          <w:szCs w:val="28"/>
          <w:lang w:eastAsia="en-US"/>
        </w:rPr>
      </w:pPr>
      <w:r w:rsidRPr="00B92AB6">
        <w:rPr>
          <w:sz w:val="28"/>
          <w:szCs w:val="28"/>
          <w:lang w:eastAsia="en-US"/>
        </w:rPr>
        <w:lastRenderedPageBreak/>
        <w:t>Согласно статье 10 Федерального закона от 26 декабря 2008 г.</w:t>
      </w:r>
      <w:r>
        <w:rPr>
          <w:sz w:val="28"/>
          <w:szCs w:val="28"/>
          <w:lang w:eastAsia="en-US"/>
        </w:rPr>
        <w:t xml:space="preserve"> </w:t>
      </w:r>
      <w:r w:rsidRPr="00B92AB6">
        <w:rPr>
          <w:sz w:val="28"/>
          <w:szCs w:val="28"/>
          <w:lang w:eastAsia="en-US"/>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основаниями для проведения проверки, помимо прочего, могут служить результаты предварительной проверки поступивших в органы государственного контроля обращений и заявлений граждан, содержащие информацию о возникновение угрозы причинения вреда жизни, здоровью граждан, о причинении вреда жизни, здоровью граждан, о нарушение прав потребителей. Кроме того,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(ЕСИА).</w:t>
      </w:r>
    </w:p>
    <w:p w:rsidR="009773CE" w:rsidRPr="00B92AB6" w:rsidRDefault="009773CE" w:rsidP="009773CE">
      <w:pPr>
        <w:ind w:firstLine="709"/>
        <w:jc w:val="both"/>
        <w:rPr>
          <w:sz w:val="28"/>
          <w:szCs w:val="28"/>
          <w:lang w:eastAsia="en-US"/>
        </w:rPr>
      </w:pPr>
      <w:r w:rsidRPr="00B92AB6">
        <w:rPr>
          <w:sz w:val="28"/>
          <w:szCs w:val="28"/>
          <w:lang w:eastAsia="en-US"/>
        </w:rPr>
        <w:t xml:space="preserve">За отчетный период в </w:t>
      </w:r>
      <w:proofErr w:type="gramStart"/>
      <w:r w:rsidRPr="00B92AB6">
        <w:rPr>
          <w:sz w:val="28"/>
          <w:szCs w:val="28"/>
          <w:lang w:eastAsia="en-US"/>
        </w:rPr>
        <w:t>Службу  не</w:t>
      </w:r>
      <w:proofErr w:type="gramEnd"/>
      <w:r w:rsidRPr="00B92AB6">
        <w:rPr>
          <w:sz w:val="28"/>
          <w:szCs w:val="28"/>
          <w:lang w:eastAsia="en-US"/>
        </w:rPr>
        <w:t xml:space="preserve"> поступали обращения граждан, юридических лиц, содержащих  требования о проведении проверок в отношении   «хозяйствующих субъектов», которые по их мнению нарушают обязательные требования, оценка соблюдения которых является предметом  муниципального  контроля</w:t>
      </w:r>
      <w:r w:rsidRPr="00B92AB6">
        <w:rPr>
          <w:lang w:eastAsia="en-US"/>
        </w:rPr>
        <w:t xml:space="preserve"> </w:t>
      </w:r>
      <w:r w:rsidRPr="00B92AB6">
        <w:rPr>
          <w:sz w:val="28"/>
          <w:szCs w:val="28"/>
          <w:lang w:eastAsia="en-US"/>
        </w:rPr>
        <w:t>сохранности автомобильных дорог местного значения в границах  города Нефтеюганска, в связи с чем внеплановые проверки по данному виду контроля не проводились.</w:t>
      </w:r>
    </w:p>
    <w:p w:rsidR="009773CE" w:rsidRPr="008317EC" w:rsidRDefault="009773CE" w:rsidP="009773CE">
      <w:pPr>
        <w:ind w:firstLine="851"/>
      </w:pPr>
    </w:p>
    <w:p w:rsidR="009773CE" w:rsidRPr="00B92AB6" w:rsidRDefault="009773CE" w:rsidP="009773CE">
      <w:pPr>
        <w:ind w:firstLine="709"/>
        <w:jc w:val="center"/>
        <w:rPr>
          <w:b/>
          <w:sz w:val="28"/>
          <w:szCs w:val="28"/>
          <w:lang w:eastAsia="en-US"/>
        </w:rPr>
      </w:pPr>
      <w:r w:rsidRPr="00B92AB6">
        <w:rPr>
          <w:b/>
          <w:sz w:val="28"/>
          <w:szCs w:val="28"/>
          <w:lang w:eastAsia="en-US"/>
        </w:rPr>
        <w:t>Муниципальный земельный и торговый контроль</w:t>
      </w:r>
    </w:p>
    <w:p w:rsidR="009773CE" w:rsidRPr="00A80B4E" w:rsidRDefault="009773CE" w:rsidP="009773CE">
      <w:pPr>
        <w:tabs>
          <w:tab w:val="left" w:pos="709"/>
        </w:tabs>
        <w:ind w:firstLine="709"/>
        <w:jc w:val="both"/>
        <w:rPr>
          <w:sz w:val="28"/>
          <w:szCs w:val="28"/>
        </w:rPr>
      </w:pPr>
      <w:r w:rsidRPr="00A80B4E">
        <w:rPr>
          <w:sz w:val="28"/>
          <w:szCs w:val="28"/>
        </w:rPr>
        <w:t xml:space="preserve">          Органом муниципального земельного контроля города Нефтеюганска в III квартале 2020 года в соответствии с постановлением администрации города Нефтеюганска от 18.12.2019 № 1434-п «Об утверждении ежегодного плана проведения плановых проверок юридических лиц и индивидуальных предпринимателей на 2020» (с изменениями, внесёнными постановлением администрации города № 112-п от 30.01.2020) запланирована к проведению 1 плановая проверка. </w:t>
      </w:r>
    </w:p>
    <w:p w:rsidR="009773CE" w:rsidRPr="00A80B4E" w:rsidRDefault="009773CE" w:rsidP="009773CE">
      <w:pPr>
        <w:tabs>
          <w:tab w:val="left" w:pos="709"/>
        </w:tabs>
        <w:ind w:firstLine="709"/>
        <w:jc w:val="both"/>
        <w:rPr>
          <w:sz w:val="28"/>
          <w:szCs w:val="28"/>
        </w:rPr>
      </w:pPr>
      <w:r w:rsidRPr="00A80B4E">
        <w:rPr>
          <w:sz w:val="28"/>
          <w:szCs w:val="28"/>
        </w:rPr>
        <w:t xml:space="preserve">         Вместе с тем, плановые проверки, перечень которых был утвержден постановлением администрации города Нефтеюганска от 18.12.2019 № 1434-п «Об утверждении ежегодного плана проведения плановых проверок юридических лиц и индивидуальных предпринимателей на 2020 год», исключены из плана проверок на 2020 год в соответствии с поручением Председателя Правительства Российской Федерации </w:t>
      </w:r>
      <w:proofErr w:type="spellStart"/>
      <w:r w:rsidRPr="00A80B4E">
        <w:rPr>
          <w:sz w:val="28"/>
          <w:szCs w:val="28"/>
        </w:rPr>
        <w:t>М.В.Мишустина</w:t>
      </w:r>
      <w:proofErr w:type="spellEnd"/>
      <w:r w:rsidRPr="00A80B4E">
        <w:rPr>
          <w:sz w:val="28"/>
          <w:szCs w:val="28"/>
        </w:rPr>
        <w:t xml:space="preserve"> от 18.03.2020 № ММ-П36-1945, информационным письмом Генеральной прокуратуры Российской Федерации от 24.03.2020 № 76/2-206-2020 «Об ограничении контрольно-надзорной деятельности в условиях распространения </w:t>
      </w:r>
      <w:proofErr w:type="spellStart"/>
      <w:r w:rsidRPr="00A80B4E">
        <w:rPr>
          <w:sz w:val="28"/>
          <w:szCs w:val="28"/>
        </w:rPr>
        <w:t>коронавирусной</w:t>
      </w:r>
      <w:proofErr w:type="spellEnd"/>
      <w:r w:rsidRPr="00A80B4E">
        <w:rPr>
          <w:sz w:val="28"/>
          <w:szCs w:val="28"/>
        </w:rPr>
        <w:t xml:space="preserve"> инфекции», и далее в соответствии с постановлением Правительства Российской Федерации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rsidRPr="00A80B4E">
        <w:rPr>
          <w:sz w:val="28"/>
          <w:szCs w:val="28"/>
        </w:rPr>
        <w:lastRenderedPageBreak/>
        <w:t>юридических лиц и индивидуальных предпринимателей», постановлениями администрации города Нефтеюганска от 27.03.2020 № 488-п и от 20.04.2020               № 607-п.</w:t>
      </w:r>
    </w:p>
    <w:p w:rsidR="009773CE" w:rsidRPr="00A80B4E" w:rsidRDefault="009773CE" w:rsidP="009773CE">
      <w:pPr>
        <w:tabs>
          <w:tab w:val="left" w:pos="709"/>
        </w:tabs>
        <w:ind w:firstLine="709"/>
        <w:jc w:val="both"/>
        <w:rPr>
          <w:sz w:val="28"/>
          <w:szCs w:val="28"/>
        </w:rPr>
      </w:pPr>
      <w:r w:rsidRPr="00A80B4E">
        <w:rPr>
          <w:sz w:val="28"/>
          <w:szCs w:val="28"/>
        </w:rPr>
        <w:t>В связи с чем, плановые проверки с начала 2 квартала 2020 года до конца 2020 года не проводятся.</w:t>
      </w:r>
    </w:p>
    <w:p w:rsidR="009773CE" w:rsidRPr="00A80B4E" w:rsidRDefault="009773CE" w:rsidP="009773CE">
      <w:pPr>
        <w:tabs>
          <w:tab w:val="left" w:pos="709"/>
        </w:tabs>
        <w:ind w:firstLine="709"/>
        <w:jc w:val="both"/>
        <w:rPr>
          <w:sz w:val="28"/>
          <w:szCs w:val="28"/>
        </w:rPr>
      </w:pPr>
      <w:r w:rsidRPr="00A80B4E">
        <w:rPr>
          <w:sz w:val="28"/>
          <w:szCs w:val="28"/>
        </w:rPr>
        <w:t>В органы прокуратуры направлено 2 заявления о согласовании проведения внеплановых выездных проверок в отношении:</w:t>
      </w:r>
    </w:p>
    <w:p w:rsidR="009773CE" w:rsidRPr="00A80B4E" w:rsidRDefault="009773CE" w:rsidP="009773CE">
      <w:pPr>
        <w:tabs>
          <w:tab w:val="left" w:pos="709"/>
        </w:tabs>
        <w:ind w:firstLine="709"/>
        <w:jc w:val="both"/>
        <w:rPr>
          <w:sz w:val="28"/>
          <w:szCs w:val="28"/>
        </w:rPr>
      </w:pPr>
      <w:r w:rsidRPr="00A80B4E">
        <w:rPr>
          <w:sz w:val="28"/>
          <w:szCs w:val="28"/>
        </w:rPr>
        <w:t>- СНТ «Новосибирец» для установления выполнения ранее выданного предписания, при этом органами прокуратуры отказано в согласовании в связи с Указом Президента РФ;</w:t>
      </w:r>
    </w:p>
    <w:p w:rsidR="009773CE" w:rsidRPr="00A80B4E" w:rsidRDefault="009773CE" w:rsidP="009773CE">
      <w:pPr>
        <w:tabs>
          <w:tab w:val="left" w:pos="709"/>
        </w:tabs>
        <w:ind w:firstLine="709"/>
        <w:jc w:val="both"/>
        <w:rPr>
          <w:sz w:val="28"/>
          <w:szCs w:val="28"/>
        </w:rPr>
      </w:pPr>
      <w:r w:rsidRPr="00A80B4E">
        <w:rPr>
          <w:sz w:val="28"/>
          <w:szCs w:val="28"/>
        </w:rPr>
        <w:t xml:space="preserve">-ООО СК «Прогресс» в связи с возникновением угрозы причинения вреда жизни, здоровью граждан, при этом органами прокуратуры отказано в </w:t>
      </w:r>
      <w:proofErr w:type="gramStart"/>
      <w:r w:rsidRPr="00A80B4E">
        <w:rPr>
          <w:sz w:val="28"/>
          <w:szCs w:val="28"/>
        </w:rPr>
        <w:t>согласовании  в</w:t>
      </w:r>
      <w:proofErr w:type="gramEnd"/>
      <w:r w:rsidRPr="00A80B4E">
        <w:rPr>
          <w:sz w:val="28"/>
          <w:szCs w:val="28"/>
        </w:rPr>
        <w:t xml:space="preserve"> связи с отсутствием  оснований для проведения внеплановой выездной проверки.</w:t>
      </w:r>
    </w:p>
    <w:p w:rsidR="009773CE" w:rsidRPr="00A80B4E" w:rsidRDefault="009773CE" w:rsidP="009773CE">
      <w:pPr>
        <w:tabs>
          <w:tab w:val="left" w:pos="709"/>
        </w:tabs>
        <w:ind w:firstLine="709"/>
        <w:jc w:val="both"/>
        <w:rPr>
          <w:sz w:val="28"/>
          <w:szCs w:val="28"/>
        </w:rPr>
      </w:pPr>
      <w:r w:rsidRPr="00A80B4E">
        <w:rPr>
          <w:sz w:val="28"/>
          <w:szCs w:val="28"/>
        </w:rPr>
        <w:t xml:space="preserve">         В отчетный период в рамках 2 плановых (рейдовых) заданий о проведении мероприятий без взаимодействия с юридическими лицами и индивидуальными предпринимателями, органом муниципального контроля проведено 87 плановых (рейдовых) осмотров территорий города в целях соблюдения физическими, юридическими лицами, индивидуальными предпринимателями обязательных требований в сфере земельного законодательства, законодательства Российской Федерации, законодательства Ханты-Мансийского автономного округа – Югры  (далее – обязательные требования), а также требований, установленных муниципальными правовыми актами, к размещению нестационарных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нестационарных торговых объектов на территории города Нефтеюганска, по результатам которых составлено 62 акта плановых (рейдовых) осмотров, обследований. </w:t>
      </w:r>
    </w:p>
    <w:p w:rsidR="009773CE" w:rsidRPr="00A80B4E" w:rsidRDefault="009773CE" w:rsidP="009773CE">
      <w:pPr>
        <w:tabs>
          <w:tab w:val="left" w:pos="709"/>
        </w:tabs>
        <w:ind w:firstLine="709"/>
        <w:jc w:val="both"/>
        <w:rPr>
          <w:sz w:val="28"/>
          <w:szCs w:val="28"/>
        </w:rPr>
      </w:pPr>
      <w:r w:rsidRPr="00A80B4E">
        <w:rPr>
          <w:sz w:val="28"/>
          <w:szCs w:val="28"/>
        </w:rPr>
        <w:t xml:space="preserve">         При реализации полномочий было выявлено 89 фактов </w:t>
      </w:r>
      <w:proofErr w:type="gramStart"/>
      <w:r w:rsidRPr="00A80B4E">
        <w:rPr>
          <w:sz w:val="28"/>
          <w:szCs w:val="28"/>
        </w:rPr>
        <w:t>нарушений  законодательства</w:t>
      </w:r>
      <w:proofErr w:type="gramEnd"/>
      <w:r w:rsidRPr="00A80B4E">
        <w:rPr>
          <w:sz w:val="28"/>
          <w:szCs w:val="28"/>
        </w:rPr>
        <w:t xml:space="preserve"> Российской Федерации, за которые предусмотрена административная ответственность: </w:t>
      </w:r>
    </w:p>
    <w:p w:rsidR="009773CE" w:rsidRPr="00A80B4E" w:rsidRDefault="009773CE" w:rsidP="009773CE">
      <w:pPr>
        <w:tabs>
          <w:tab w:val="left" w:pos="709"/>
        </w:tabs>
        <w:ind w:firstLine="709"/>
        <w:jc w:val="both"/>
        <w:rPr>
          <w:sz w:val="28"/>
          <w:szCs w:val="28"/>
        </w:rPr>
      </w:pPr>
      <w:r w:rsidRPr="00A80B4E">
        <w:rPr>
          <w:sz w:val="28"/>
          <w:szCs w:val="28"/>
        </w:rPr>
        <w:t xml:space="preserve">-81 нарушение (ст.7.1 КоАП РФ самовольное занятие земельного участка), по итогам которых привлечен к административной ответственности 1 индивидуальный предприниматель, вынесено предупреждение. По </w:t>
      </w:r>
      <w:proofErr w:type="gramStart"/>
      <w:r w:rsidRPr="00A80B4E">
        <w:rPr>
          <w:sz w:val="28"/>
          <w:szCs w:val="28"/>
        </w:rPr>
        <w:t>5  фактам</w:t>
      </w:r>
      <w:proofErr w:type="gramEnd"/>
      <w:r w:rsidRPr="00A80B4E">
        <w:rPr>
          <w:sz w:val="28"/>
          <w:szCs w:val="28"/>
        </w:rPr>
        <w:t xml:space="preserve"> материалы до настоящего времени находятся на рассмотрении в Управлении </w:t>
      </w:r>
      <w:proofErr w:type="spellStart"/>
      <w:r w:rsidRPr="00A80B4E">
        <w:rPr>
          <w:sz w:val="28"/>
          <w:szCs w:val="28"/>
        </w:rPr>
        <w:t>Росреестра</w:t>
      </w:r>
      <w:proofErr w:type="spellEnd"/>
      <w:r w:rsidRPr="00A80B4E">
        <w:rPr>
          <w:sz w:val="28"/>
          <w:szCs w:val="28"/>
        </w:rPr>
        <w:t xml:space="preserve">, решение не принято, по 72 фактам информация передана в ОМВД России по </w:t>
      </w:r>
      <w:proofErr w:type="spellStart"/>
      <w:r w:rsidRPr="00A80B4E">
        <w:rPr>
          <w:sz w:val="28"/>
          <w:szCs w:val="28"/>
        </w:rPr>
        <w:t>г.Нефтеюганску</w:t>
      </w:r>
      <w:proofErr w:type="spellEnd"/>
      <w:r w:rsidRPr="00A80B4E">
        <w:rPr>
          <w:sz w:val="28"/>
          <w:szCs w:val="28"/>
        </w:rPr>
        <w:t xml:space="preserve"> для установления лиц и рассмотрения вопроса о составлении административных протоколов. По 2 фактам межмуниципальным отделом по городу Нефтеюганск, городу </w:t>
      </w:r>
      <w:proofErr w:type="spellStart"/>
      <w:r w:rsidRPr="00A80B4E">
        <w:rPr>
          <w:sz w:val="28"/>
          <w:szCs w:val="28"/>
        </w:rPr>
        <w:t>Пыть-Ях</w:t>
      </w:r>
      <w:proofErr w:type="spellEnd"/>
      <w:r w:rsidRPr="00A80B4E">
        <w:rPr>
          <w:sz w:val="28"/>
          <w:szCs w:val="28"/>
        </w:rPr>
        <w:t xml:space="preserve"> и </w:t>
      </w:r>
      <w:proofErr w:type="spellStart"/>
      <w:r w:rsidRPr="00A80B4E">
        <w:rPr>
          <w:sz w:val="28"/>
          <w:szCs w:val="28"/>
        </w:rPr>
        <w:t>Нефтеюганскому</w:t>
      </w:r>
      <w:proofErr w:type="spellEnd"/>
      <w:r w:rsidRPr="00A80B4E">
        <w:rPr>
          <w:sz w:val="28"/>
          <w:szCs w:val="28"/>
        </w:rPr>
        <w:t xml:space="preserve"> району Управления </w:t>
      </w:r>
      <w:proofErr w:type="spellStart"/>
      <w:r w:rsidRPr="00A80B4E">
        <w:rPr>
          <w:sz w:val="28"/>
          <w:szCs w:val="28"/>
        </w:rPr>
        <w:t>Росреестра</w:t>
      </w:r>
      <w:proofErr w:type="spellEnd"/>
      <w:r w:rsidRPr="00A80B4E">
        <w:rPr>
          <w:sz w:val="28"/>
          <w:szCs w:val="28"/>
        </w:rPr>
        <w:t xml:space="preserve"> (далее –Управление </w:t>
      </w:r>
      <w:proofErr w:type="spellStart"/>
      <w:r w:rsidRPr="00A80B4E">
        <w:rPr>
          <w:sz w:val="28"/>
          <w:szCs w:val="28"/>
        </w:rPr>
        <w:t>Росреестра</w:t>
      </w:r>
      <w:proofErr w:type="spellEnd"/>
      <w:r w:rsidRPr="00A80B4E">
        <w:rPr>
          <w:sz w:val="28"/>
          <w:szCs w:val="28"/>
        </w:rPr>
        <w:t xml:space="preserve">) вынесены постановления о прекращении производства по делу об административном правонарушении. Одно направлено в структурное подразделение для принятия решения по факту проведения реконструкции объекта без получения уведомления. По двум фактам дополнительно материалы направлены в </w:t>
      </w:r>
      <w:r w:rsidRPr="00A80B4E">
        <w:rPr>
          <w:sz w:val="28"/>
          <w:szCs w:val="28"/>
        </w:rPr>
        <w:lastRenderedPageBreak/>
        <w:t>департамент экономического развития администрации города Нефтеюганска для рассмотрения вопроса о привлечении к административной ответственности по ст.37 Закона ХМАО-Югры от 11.06.2010 № 102-ОЗ «Об административных правонарушениях».</w:t>
      </w:r>
    </w:p>
    <w:p w:rsidR="009773CE" w:rsidRPr="00A80B4E" w:rsidRDefault="009773CE" w:rsidP="009773CE">
      <w:pPr>
        <w:tabs>
          <w:tab w:val="left" w:pos="709"/>
        </w:tabs>
        <w:ind w:firstLine="709"/>
        <w:jc w:val="both"/>
        <w:rPr>
          <w:sz w:val="28"/>
          <w:szCs w:val="28"/>
        </w:rPr>
      </w:pPr>
      <w:r w:rsidRPr="00A80B4E">
        <w:rPr>
          <w:sz w:val="28"/>
          <w:szCs w:val="28"/>
        </w:rPr>
        <w:t xml:space="preserve">-8 нарушений (ч.1 ст.8.8 КоАП РФ,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по итогам которых: По двум вынесены предупреждения, по 2 фактам материалы прекращены, один из которых в связи со смертью лица. По результатам одного </w:t>
      </w:r>
    </w:p>
    <w:p w:rsidR="009773CE" w:rsidRPr="00A80B4E" w:rsidRDefault="009773CE" w:rsidP="009773CE">
      <w:pPr>
        <w:tabs>
          <w:tab w:val="left" w:pos="709"/>
        </w:tabs>
        <w:ind w:firstLine="709"/>
        <w:jc w:val="both"/>
        <w:rPr>
          <w:sz w:val="28"/>
          <w:szCs w:val="28"/>
        </w:rPr>
      </w:pPr>
      <w:r w:rsidRPr="00A80B4E">
        <w:rPr>
          <w:sz w:val="28"/>
          <w:szCs w:val="28"/>
        </w:rPr>
        <w:t xml:space="preserve">до настоящего времени находятся на рассмотрении в Управлении </w:t>
      </w:r>
      <w:proofErr w:type="spellStart"/>
      <w:r w:rsidRPr="00A80B4E">
        <w:rPr>
          <w:sz w:val="28"/>
          <w:szCs w:val="28"/>
        </w:rPr>
        <w:t>Росреестра</w:t>
      </w:r>
      <w:proofErr w:type="spellEnd"/>
      <w:r w:rsidRPr="00A80B4E">
        <w:rPr>
          <w:sz w:val="28"/>
          <w:szCs w:val="28"/>
        </w:rPr>
        <w:t>, решение не принято, информация передана в Департамент градостроительства и земельных отношений администрации города Нефтеюганска для принятия решения по нарушению условий договора аренды земель (ООО «Европа»).</w:t>
      </w:r>
    </w:p>
    <w:p w:rsidR="009773CE" w:rsidRPr="00A80B4E" w:rsidRDefault="009773CE" w:rsidP="009773CE">
      <w:pPr>
        <w:tabs>
          <w:tab w:val="left" w:pos="709"/>
        </w:tabs>
        <w:ind w:firstLine="709"/>
        <w:jc w:val="both"/>
        <w:rPr>
          <w:sz w:val="28"/>
          <w:szCs w:val="28"/>
        </w:rPr>
      </w:pPr>
      <w:r w:rsidRPr="00A80B4E">
        <w:rPr>
          <w:sz w:val="28"/>
          <w:szCs w:val="28"/>
        </w:rPr>
        <w:t xml:space="preserve">По 10 фактам структурным подразделением администрации города Нефтеюганска в рамках проведения порядка досудебного урегулирования направлены уведомления о необходимости освобождения самовольно-занятых земельных участков, актами подтверждены факты неисполнений и исполнений уведомлений для подачи исковых заявлений в суд. </w:t>
      </w:r>
    </w:p>
    <w:p w:rsidR="009773CE" w:rsidRPr="00A80B4E" w:rsidRDefault="009773CE" w:rsidP="009773CE">
      <w:pPr>
        <w:tabs>
          <w:tab w:val="left" w:pos="709"/>
        </w:tabs>
        <w:ind w:firstLine="709"/>
        <w:jc w:val="both"/>
        <w:rPr>
          <w:sz w:val="28"/>
          <w:szCs w:val="28"/>
        </w:rPr>
      </w:pPr>
      <w:r w:rsidRPr="00A80B4E">
        <w:rPr>
          <w:sz w:val="28"/>
          <w:szCs w:val="28"/>
        </w:rPr>
        <w:t xml:space="preserve">         По 4 фактам нарушений информация передана в структурное подразделение администрации города Нефтеюганска для внесения в </w:t>
      </w:r>
      <w:proofErr w:type="gramStart"/>
      <w:r w:rsidRPr="00A80B4E">
        <w:rPr>
          <w:sz w:val="28"/>
          <w:szCs w:val="28"/>
        </w:rPr>
        <w:t>программу  SAUMI</w:t>
      </w:r>
      <w:proofErr w:type="gramEnd"/>
      <w:r w:rsidRPr="00A80B4E">
        <w:rPr>
          <w:sz w:val="28"/>
          <w:szCs w:val="28"/>
        </w:rPr>
        <w:t xml:space="preserve"> и дежурную кадастровую карту  для проведения расчетов по факту самовольного использования  земельных участков и организации </w:t>
      </w:r>
      <w:proofErr w:type="spellStart"/>
      <w:r w:rsidRPr="00A80B4E">
        <w:rPr>
          <w:sz w:val="28"/>
          <w:szCs w:val="28"/>
        </w:rPr>
        <w:t>претензионно</w:t>
      </w:r>
      <w:proofErr w:type="spellEnd"/>
      <w:r w:rsidRPr="00A80B4E">
        <w:rPr>
          <w:sz w:val="28"/>
          <w:szCs w:val="28"/>
        </w:rPr>
        <w:t xml:space="preserve"> - исковой работы по освобождению и изъятию земельных участков из чужого незаконного владения.</w:t>
      </w:r>
    </w:p>
    <w:p w:rsidR="009773CE" w:rsidRPr="00A80B4E" w:rsidRDefault="009773CE" w:rsidP="009773CE">
      <w:pPr>
        <w:tabs>
          <w:tab w:val="left" w:pos="709"/>
        </w:tabs>
        <w:ind w:firstLine="709"/>
        <w:jc w:val="both"/>
        <w:rPr>
          <w:sz w:val="28"/>
          <w:szCs w:val="28"/>
        </w:rPr>
      </w:pPr>
      <w:r w:rsidRPr="00A80B4E">
        <w:rPr>
          <w:sz w:val="28"/>
          <w:szCs w:val="28"/>
        </w:rPr>
        <w:t xml:space="preserve">Также Управлением </w:t>
      </w:r>
      <w:proofErr w:type="spellStart"/>
      <w:r w:rsidRPr="00A80B4E">
        <w:rPr>
          <w:sz w:val="28"/>
          <w:szCs w:val="28"/>
        </w:rPr>
        <w:t>Росреестра</w:t>
      </w:r>
      <w:proofErr w:type="spellEnd"/>
      <w:r w:rsidRPr="00A80B4E">
        <w:rPr>
          <w:sz w:val="28"/>
          <w:szCs w:val="28"/>
        </w:rPr>
        <w:t xml:space="preserve"> в III квартале рассмотрен 1 материал, направленный во II квартале 2020, по итогам индивидуальный предприниматель привлечен к административной ответственности, наложен штраф в размере 100 000 рублей. вынесено предупреждение, два материала прекращено в связи с истечением сроков давности привлечения к административной ответственности, по четвертому материалу вынесено определение об отказе в возбуждении административного дела в связи с отсутствием состава административного правонарушения. Обжалуемое во II квартале определение Управления </w:t>
      </w:r>
      <w:proofErr w:type="spellStart"/>
      <w:r w:rsidRPr="00A80B4E">
        <w:rPr>
          <w:sz w:val="28"/>
          <w:szCs w:val="28"/>
        </w:rPr>
        <w:t>Росреестра</w:t>
      </w:r>
      <w:proofErr w:type="spellEnd"/>
      <w:r w:rsidRPr="00A80B4E">
        <w:rPr>
          <w:sz w:val="28"/>
          <w:szCs w:val="28"/>
        </w:rPr>
        <w:t xml:space="preserve"> в Арбитражном суде ХМАО-Югры, оставлено без изменений, однако индивидуальный предприниматель </w:t>
      </w:r>
      <w:proofErr w:type="spellStart"/>
      <w:r w:rsidRPr="00A80B4E">
        <w:rPr>
          <w:sz w:val="28"/>
          <w:szCs w:val="28"/>
        </w:rPr>
        <w:t>Дрёмин</w:t>
      </w:r>
      <w:proofErr w:type="spellEnd"/>
      <w:r w:rsidRPr="00A80B4E">
        <w:rPr>
          <w:sz w:val="28"/>
          <w:szCs w:val="28"/>
        </w:rPr>
        <w:t xml:space="preserve"> В.А. освободил земельный участок от двух </w:t>
      </w:r>
      <w:proofErr w:type="gramStart"/>
      <w:r w:rsidRPr="00A80B4E">
        <w:rPr>
          <w:sz w:val="28"/>
          <w:szCs w:val="28"/>
        </w:rPr>
        <w:t>контейнеров</w:t>
      </w:r>
      <w:proofErr w:type="gramEnd"/>
      <w:r w:rsidRPr="00A80B4E">
        <w:rPr>
          <w:sz w:val="28"/>
          <w:szCs w:val="28"/>
        </w:rPr>
        <w:t xml:space="preserve"> используемых под рефрижераторы для хранения мясной продукции. </w:t>
      </w:r>
    </w:p>
    <w:p w:rsidR="009773CE" w:rsidRPr="00A80B4E" w:rsidRDefault="009773CE" w:rsidP="009773CE">
      <w:pPr>
        <w:tabs>
          <w:tab w:val="left" w:pos="709"/>
        </w:tabs>
        <w:ind w:firstLine="709"/>
        <w:jc w:val="both"/>
        <w:rPr>
          <w:sz w:val="28"/>
          <w:szCs w:val="28"/>
        </w:rPr>
      </w:pPr>
      <w:r w:rsidRPr="00A80B4E">
        <w:rPr>
          <w:sz w:val="28"/>
          <w:szCs w:val="28"/>
        </w:rPr>
        <w:t xml:space="preserve">По одному выявленному во 2 квартале факту выразившемуся в размещении  нестационарного торгового павильона на придомовой территории многоквартирного жилого дома в нарушение Решения Думы города Нефтеюганска от 24.12.2013 № 727-V которым утверждены «Правила благоустройства территории муниципального образования город Нефтеюганск» (далее Правила благоустройства),  частью 2  статьи 31 Правил благоустройства которого установлен запрет на установку нестационарных </w:t>
      </w:r>
      <w:r w:rsidRPr="00A80B4E">
        <w:rPr>
          <w:sz w:val="28"/>
          <w:szCs w:val="28"/>
        </w:rPr>
        <w:lastRenderedPageBreak/>
        <w:t xml:space="preserve">торговых объектов на придомовых территориях, лицо допустившее нарушение добровольно произвело демонтаж объекта по адресу: г. Нефтеюганск 8 </w:t>
      </w:r>
      <w:proofErr w:type="spellStart"/>
      <w:r w:rsidRPr="00A80B4E">
        <w:rPr>
          <w:sz w:val="28"/>
          <w:szCs w:val="28"/>
        </w:rPr>
        <w:t>мкрн</w:t>
      </w:r>
      <w:proofErr w:type="spellEnd"/>
      <w:r w:rsidRPr="00A80B4E">
        <w:rPr>
          <w:sz w:val="28"/>
          <w:szCs w:val="28"/>
        </w:rPr>
        <w:t>. у дома № 16.</w:t>
      </w:r>
    </w:p>
    <w:p w:rsidR="009773CE" w:rsidRPr="00A80B4E" w:rsidRDefault="009773CE" w:rsidP="009773CE">
      <w:pPr>
        <w:tabs>
          <w:tab w:val="left" w:pos="709"/>
        </w:tabs>
        <w:ind w:firstLine="709"/>
        <w:jc w:val="both"/>
        <w:rPr>
          <w:sz w:val="28"/>
          <w:szCs w:val="28"/>
        </w:rPr>
      </w:pPr>
      <w:r w:rsidRPr="00A80B4E">
        <w:rPr>
          <w:sz w:val="28"/>
          <w:szCs w:val="28"/>
        </w:rPr>
        <w:t xml:space="preserve">После проведения профилактических мероприятий направленных на недопущение использования земельных участков без предусмотренных законодательством Российской Федерации прав на земельный участок, в рамках имеющихся решений судов, по освобождению самовольно занятых и используемых земельных участков, исполнены 5 решений суда, индивидуальными предпринимателями освобождены 5 земельных участков от нестационарных торговых объектов (1 </w:t>
      </w:r>
      <w:proofErr w:type="spellStart"/>
      <w:r w:rsidRPr="00A80B4E">
        <w:rPr>
          <w:sz w:val="28"/>
          <w:szCs w:val="28"/>
        </w:rPr>
        <w:t>мкрн</w:t>
      </w:r>
      <w:proofErr w:type="spellEnd"/>
      <w:r w:rsidRPr="00A80B4E">
        <w:rPr>
          <w:sz w:val="28"/>
          <w:szCs w:val="28"/>
        </w:rPr>
        <w:t xml:space="preserve">. у дома 18 (ИП Мамедов), 1 </w:t>
      </w:r>
      <w:proofErr w:type="spellStart"/>
      <w:r w:rsidRPr="00A80B4E">
        <w:rPr>
          <w:sz w:val="28"/>
          <w:szCs w:val="28"/>
        </w:rPr>
        <w:t>мкр</w:t>
      </w:r>
      <w:proofErr w:type="spellEnd"/>
      <w:r w:rsidRPr="00A80B4E">
        <w:rPr>
          <w:sz w:val="28"/>
          <w:szCs w:val="28"/>
        </w:rPr>
        <w:t xml:space="preserve">. у </w:t>
      </w:r>
      <w:proofErr w:type="spellStart"/>
      <w:r w:rsidRPr="00A80B4E">
        <w:rPr>
          <w:sz w:val="28"/>
          <w:szCs w:val="28"/>
        </w:rPr>
        <w:t>ЗАГСа</w:t>
      </w:r>
      <w:proofErr w:type="spellEnd"/>
      <w:r w:rsidRPr="00A80B4E">
        <w:rPr>
          <w:sz w:val="28"/>
          <w:szCs w:val="28"/>
        </w:rPr>
        <w:t xml:space="preserve"> ИП Агаларов), 7 </w:t>
      </w:r>
      <w:proofErr w:type="spellStart"/>
      <w:r w:rsidRPr="00A80B4E">
        <w:rPr>
          <w:sz w:val="28"/>
          <w:szCs w:val="28"/>
        </w:rPr>
        <w:t>мкр</w:t>
      </w:r>
      <w:proofErr w:type="spellEnd"/>
      <w:r w:rsidRPr="00A80B4E">
        <w:rPr>
          <w:sz w:val="28"/>
          <w:szCs w:val="28"/>
        </w:rPr>
        <w:t xml:space="preserve"> у магазина «Монетка» ООО «</w:t>
      </w:r>
      <w:proofErr w:type="spellStart"/>
      <w:r w:rsidRPr="00A80B4E">
        <w:rPr>
          <w:sz w:val="28"/>
          <w:szCs w:val="28"/>
        </w:rPr>
        <w:t>Информпечать</w:t>
      </w:r>
      <w:proofErr w:type="spellEnd"/>
      <w:r w:rsidRPr="00A80B4E">
        <w:rPr>
          <w:sz w:val="28"/>
          <w:szCs w:val="28"/>
        </w:rPr>
        <w:t xml:space="preserve">», (11А </w:t>
      </w:r>
      <w:proofErr w:type="spellStart"/>
      <w:r w:rsidRPr="00A80B4E">
        <w:rPr>
          <w:sz w:val="28"/>
          <w:szCs w:val="28"/>
        </w:rPr>
        <w:t>мкрн.Шошаева</w:t>
      </w:r>
      <w:proofErr w:type="spellEnd"/>
      <w:r w:rsidRPr="00A80B4E">
        <w:rPr>
          <w:sz w:val="28"/>
          <w:szCs w:val="28"/>
        </w:rPr>
        <w:t>.), (МО-15 Ахмедов).</w:t>
      </w:r>
    </w:p>
    <w:p w:rsidR="009773CE" w:rsidRPr="00A80B4E" w:rsidRDefault="009773CE" w:rsidP="009773CE">
      <w:pPr>
        <w:tabs>
          <w:tab w:val="left" w:pos="709"/>
        </w:tabs>
        <w:ind w:firstLine="709"/>
        <w:jc w:val="both"/>
        <w:rPr>
          <w:sz w:val="28"/>
          <w:szCs w:val="28"/>
        </w:rPr>
      </w:pPr>
      <w:r w:rsidRPr="00A80B4E">
        <w:rPr>
          <w:sz w:val="28"/>
          <w:szCs w:val="28"/>
        </w:rPr>
        <w:t xml:space="preserve">Также в рамках досудебного урегулирования спора, гражданином освобожден ранее самовольно занятый земельный участок от торговых палаток (16 </w:t>
      </w:r>
      <w:proofErr w:type="spellStart"/>
      <w:r w:rsidRPr="00A80B4E">
        <w:rPr>
          <w:sz w:val="28"/>
          <w:szCs w:val="28"/>
        </w:rPr>
        <w:t>мкрн</w:t>
      </w:r>
      <w:proofErr w:type="spellEnd"/>
      <w:r w:rsidRPr="00A80B4E">
        <w:rPr>
          <w:sz w:val="28"/>
          <w:szCs w:val="28"/>
        </w:rPr>
        <w:t xml:space="preserve">. </w:t>
      </w:r>
      <w:proofErr w:type="gramStart"/>
      <w:r w:rsidRPr="00A80B4E">
        <w:rPr>
          <w:sz w:val="28"/>
          <w:szCs w:val="28"/>
        </w:rPr>
        <w:t>у маг</w:t>
      </w:r>
      <w:proofErr w:type="gramEnd"/>
      <w:r w:rsidRPr="00A80B4E">
        <w:rPr>
          <w:sz w:val="28"/>
          <w:szCs w:val="28"/>
        </w:rPr>
        <w:t xml:space="preserve">. «Ксюша»), (13 </w:t>
      </w:r>
      <w:proofErr w:type="spellStart"/>
      <w:r w:rsidRPr="00A80B4E">
        <w:rPr>
          <w:sz w:val="28"/>
          <w:szCs w:val="28"/>
        </w:rPr>
        <w:t>мкрн</w:t>
      </w:r>
      <w:proofErr w:type="spellEnd"/>
      <w:r w:rsidRPr="00A80B4E">
        <w:rPr>
          <w:sz w:val="28"/>
          <w:szCs w:val="28"/>
        </w:rPr>
        <w:t>. с торца дома 17).</w:t>
      </w:r>
    </w:p>
    <w:p w:rsidR="009773CE" w:rsidRDefault="009773CE" w:rsidP="009773CE">
      <w:pPr>
        <w:tabs>
          <w:tab w:val="left" w:pos="709"/>
        </w:tabs>
        <w:ind w:firstLine="709"/>
        <w:jc w:val="both"/>
        <w:rPr>
          <w:sz w:val="28"/>
          <w:szCs w:val="28"/>
        </w:rPr>
      </w:pPr>
    </w:p>
    <w:p w:rsidR="009773CE" w:rsidRPr="00B92AB6" w:rsidRDefault="009773CE" w:rsidP="009773CE">
      <w:pPr>
        <w:ind w:firstLine="709"/>
        <w:jc w:val="both"/>
        <w:rPr>
          <w:rFonts w:eastAsia="Calibri"/>
          <w:b/>
          <w:sz w:val="28"/>
          <w:szCs w:val="28"/>
          <w:lang w:eastAsia="en-US"/>
        </w:rPr>
      </w:pPr>
      <w:r w:rsidRPr="00B92AB6">
        <w:rPr>
          <w:sz w:val="28"/>
          <w:szCs w:val="28"/>
          <w:lang w:eastAsia="en-US"/>
        </w:rPr>
        <w:t xml:space="preserve">  </w:t>
      </w:r>
      <w:proofErr w:type="gramStart"/>
      <w:r w:rsidRPr="00B92AB6">
        <w:rPr>
          <w:rFonts w:eastAsia="Calibri"/>
          <w:b/>
          <w:sz w:val="28"/>
          <w:szCs w:val="28"/>
          <w:lang w:eastAsia="en-US"/>
        </w:rPr>
        <w:t>Контроль  в</w:t>
      </w:r>
      <w:proofErr w:type="gramEnd"/>
      <w:r w:rsidRPr="00B92AB6">
        <w:rPr>
          <w:rFonts w:eastAsia="Calibri"/>
          <w:b/>
          <w:sz w:val="28"/>
          <w:szCs w:val="28"/>
          <w:lang w:eastAsia="en-US"/>
        </w:rPr>
        <w:t xml:space="preserve"> сфере недропользования, лесов и благоустройства города  </w:t>
      </w:r>
    </w:p>
    <w:p w:rsidR="009773CE" w:rsidRPr="00CE13B3" w:rsidRDefault="009773CE" w:rsidP="009773CE">
      <w:pPr>
        <w:ind w:firstLine="708"/>
        <w:jc w:val="both"/>
        <w:rPr>
          <w:sz w:val="28"/>
          <w:szCs w:val="28"/>
        </w:rPr>
      </w:pPr>
      <w:r>
        <w:rPr>
          <w:bCs/>
          <w:sz w:val="28"/>
          <w:szCs w:val="28"/>
          <w:lang w:val="x-none" w:eastAsia="x-none"/>
        </w:rPr>
        <w:t xml:space="preserve">За указанный период сектором </w:t>
      </w:r>
      <w:r w:rsidRPr="00B5332C">
        <w:rPr>
          <w:bCs/>
          <w:sz w:val="28"/>
          <w:szCs w:val="28"/>
          <w:lang w:val="x-none" w:eastAsia="x-none"/>
        </w:rPr>
        <w:t xml:space="preserve">проведено </w:t>
      </w:r>
      <w:r>
        <w:rPr>
          <w:bCs/>
          <w:sz w:val="28"/>
          <w:szCs w:val="28"/>
          <w:lang w:eastAsia="x-none"/>
        </w:rPr>
        <w:t xml:space="preserve">31  плановые (рейдовые) осмотры территории </w:t>
      </w:r>
      <w:r w:rsidRPr="00CE13B3">
        <w:rPr>
          <w:sz w:val="28"/>
          <w:szCs w:val="28"/>
        </w:rPr>
        <w:t>с целью выявления нарушений требований Правил благоустройства города Нефтеюганска, 4 рейдовых осмотра с целью осуществления лесного контроля.</w:t>
      </w:r>
    </w:p>
    <w:p w:rsidR="009773CE" w:rsidRPr="00CE13B3" w:rsidRDefault="009773CE" w:rsidP="009773CE">
      <w:pPr>
        <w:ind w:firstLine="708"/>
        <w:jc w:val="both"/>
        <w:rPr>
          <w:color w:val="FF0000"/>
          <w:sz w:val="28"/>
          <w:szCs w:val="28"/>
        </w:rPr>
      </w:pPr>
      <w:r w:rsidRPr="00CE13B3">
        <w:rPr>
          <w:sz w:val="28"/>
          <w:szCs w:val="28"/>
        </w:rPr>
        <w:t>Общее количество выданных предостережений о недопустимости нарушения обязательных требований-24 шт.</w:t>
      </w:r>
      <w:r w:rsidRPr="00CE13B3">
        <w:rPr>
          <w:color w:val="FF0000"/>
          <w:sz w:val="28"/>
          <w:szCs w:val="28"/>
        </w:rPr>
        <w:t xml:space="preserve"> </w:t>
      </w:r>
      <w:r w:rsidRPr="00CE13B3">
        <w:rPr>
          <w:sz w:val="28"/>
          <w:szCs w:val="28"/>
        </w:rPr>
        <w:t>юридическим лицам и индивидуальным предпринимателям в части санитарной уборки от мусора используемых и прилегающих территорий.</w:t>
      </w:r>
    </w:p>
    <w:p w:rsidR="009773CE" w:rsidRDefault="009773CE" w:rsidP="009773CE">
      <w:pPr>
        <w:ind w:firstLine="709"/>
        <w:jc w:val="both"/>
        <w:rPr>
          <w:color w:val="000000" w:themeColor="text1"/>
          <w:sz w:val="28"/>
          <w:szCs w:val="28"/>
        </w:rPr>
      </w:pPr>
      <w:r w:rsidRPr="00CE13B3">
        <w:rPr>
          <w:sz w:val="28"/>
          <w:szCs w:val="28"/>
        </w:rPr>
        <w:t>По итогам контроля за соблюдением Закона Ханты-Мансийского автономного округа- Югры от 11.06.2010 № 102-оз «Об административных правонарушениях» составлено 68 протоколов об административных правонарушениях за размещение автотранспортных средств на газоне, за расклейку объявлений, не являющихся рекламой, в неустановленных местах, за размещение, складирование и хранение сырья, материалов, оборудования, тары, упаковки, разукомплектованных транспортных средств  в нарушение Правил благоустройства города Нефтеюганска, за нарушение установленных правилами благоустройства города Нефтеюганска периодичности, сроков уборки территории города Нефтеюганска, за засорение территории общего пользования города Нефтеюганска путем выброса, сброса, оставления вне мусорных контейнеров (урн, корзин) бумаг, окурков, бутылок и других предметов, за выпас скота вне установленных для этих целей мест на общую сумму</w:t>
      </w:r>
      <w:r w:rsidRPr="00CE13B3">
        <w:rPr>
          <w:color w:val="FF0000"/>
          <w:sz w:val="28"/>
          <w:szCs w:val="28"/>
        </w:rPr>
        <w:t xml:space="preserve"> </w:t>
      </w:r>
      <w:r w:rsidRPr="00CE13B3">
        <w:rPr>
          <w:color w:val="000000" w:themeColor="text1"/>
          <w:sz w:val="28"/>
          <w:szCs w:val="28"/>
        </w:rPr>
        <w:t>59 000 рублей:</w:t>
      </w:r>
    </w:p>
    <w:p w:rsidR="009773CE" w:rsidRDefault="009773CE" w:rsidP="009773CE">
      <w:pPr>
        <w:ind w:firstLine="709"/>
        <w:jc w:val="both"/>
        <w:rPr>
          <w:color w:val="000000" w:themeColor="text1"/>
          <w:sz w:val="28"/>
          <w:szCs w:val="28"/>
        </w:rPr>
      </w:pPr>
    </w:p>
    <w:p w:rsidR="009773CE" w:rsidRDefault="009773CE" w:rsidP="009773CE">
      <w:pPr>
        <w:ind w:firstLine="709"/>
        <w:jc w:val="both"/>
        <w:rPr>
          <w:color w:val="000000" w:themeColor="text1"/>
          <w:sz w:val="28"/>
          <w:szCs w:val="28"/>
        </w:rPr>
      </w:pPr>
    </w:p>
    <w:p w:rsidR="009773CE" w:rsidRPr="00CE13B3" w:rsidRDefault="009773CE" w:rsidP="009773CE">
      <w:pPr>
        <w:ind w:firstLine="709"/>
        <w:jc w:val="both"/>
        <w:rPr>
          <w:color w:val="000000" w:themeColor="text1"/>
          <w:sz w:val="28"/>
          <w:szCs w:val="28"/>
        </w:rPr>
      </w:pPr>
    </w:p>
    <w:tbl>
      <w:tblPr>
        <w:tblStyle w:val="a3"/>
        <w:tblpPr w:leftFromText="180" w:rightFromText="180" w:vertAnchor="text" w:horzAnchor="margin" w:tblpXSpec="center" w:tblpY="127"/>
        <w:tblW w:w="10343" w:type="dxa"/>
        <w:tblLayout w:type="fixed"/>
        <w:tblLook w:val="04A0" w:firstRow="1" w:lastRow="0" w:firstColumn="1" w:lastColumn="0" w:noHBand="0" w:noVBand="1"/>
      </w:tblPr>
      <w:tblGrid>
        <w:gridCol w:w="959"/>
        <w:gridCol w:w="1276"/>
        <w:gridCol w:w="992"/>
        <w:gridCol w:w="992"/>
        <w:gridCol w:w="992"/>
        <w:gridCol w:w="851"/>
        <w:gridCol w:w="992"/>
        <w:gridCol w:w="1276"/>
        <w:gridCol w:w="1134"/>
        <w:gridCol w:w="879"/>
      </w:tblGrid>
      <w:tr w:rsidR="009773CE" w:rsidRPr="00CE13B3" w:rsidTr="00C62078">
        <w:tc>
          <w:tcPr>
            <w:tcW w:w="959" w:type="dxa"/>
            <w:vMerge w:val="restart"/>
          </w:tcPr>
          <w:p w:rsidR="009773CE" w:rsidRPr="00CE13B3" w:rsidRDefault="009773CE" w:rsidP="00C62078">
            <w:pPr>
              <w:jc w:val="center"/>
              <w:rPr>
                <w:b/>
                <w:color w:val="000000" w:themeColor="text1"/>
                <w:sz w:val="18"/>
                <w:szCs w:val="18"/>
              </w:rPr>
            </w:pPr>
            <w:r w:rsidRPr="00CE13B3">
              <w:rPr>
                <w:b/>
                <w:color w:val="000000" w:themeColor="text1"/>
                <w:sz w:val="18"/>
                <w:szCs w:val="18"/>
              </w:rPr>
              <w:t>Статья 102-оз</w:t>
            </w:r>
          </w:p>
        </w:tc>
        <w:tc>
          <w:tcPr>
            <w:tcW w:w="4252" w:type="dxa"/>
            <w:gridSpan w:val="4"/>
          </w:tcPr>
          <w:p w:rsidR="009773CE" w:rsidRPr="00CE13B3" w:rsidRDefault="009773CE" w:rsidP="00C62078">
            <w:pPr>
              <w:jc w:val="center"/>
              <w:rPr>
                <w:b/>
                <w:color w:val="000000" w:themeColor="text1"/>
                <w:sz w:val="18"/>
                <w:szCs w:val="18"/>
              </w:rPr>
            </w:pPr>
            <w:r w:rsidRPr="00CE13B3">
              <w:rPr>
                <w:b/>
                <w:color w:val="000000" w:themeColor="text1"/>
                <w:sz w:val="18"/>
                <w:szCs w:val="18"/>
              </w:rPr>
              <w:t xml:space="preserve">Количество составленных протоколов </w:t>
            </w:r>
          </w:p>
        </w:tc>
        <w:tc>
          <w:tcPr>
            <w:tcW w:w="3119" w:type="dxa"/>
            <w:gridSpan w:val="3"/>
          </w:tcPr>
          <w:p w:rsidR="009773CE" w:rsidRPr="00CE13B3" w:rsidRDefault="009773CE" w:rsidP="00C62078">
            <w:pPr>
              <w:jc w:val="center"/>
              <w:rPr>
                <w:b/>
                <w:color w:val="000000" w:themeColor="text1"/>
                <w:sz w:val="18"/>
                <w:szCs w:val="18"/>
              </w:rPr>
            </w:pPr>
            <w:r w:rsidRPr="00CE13B3">
              <w:rPr>
                <w:b/>
                <w:color w:val="000000" w:themeColor="text1"/>
                <w:sz w:val="18"/>
                <w:szCs w:val="18"/>
              </w:rPr>
              <w:t xml:space="preserve">Виды наказаний, </w:t>
            </w:r>
          </w:p>
          <w:p w:rsidR="009773CE" w:rsidRPr="00CE13B3" w:rsidRDefault="009773CE" w:rsidP="00C62078">
            <w:pPr>
              <w:jc w:val="center"/>
              <w:rPr>
                <w:b/>
                <w:color w:val="000000" w:themeColor="text1"/>
                <w:sz w:val="18"/>
                <w:szCs w:val="18"/>
              </w:rPr>
            </w:pPr>
            <w:r w:rsidRPr="00CE13B3">
              <w:rPr>
                <w:b/>
                <w:color w:val="000000" w:themeColor="text1"/>
                <w:sz w:val="18"/>
                <w:szCs w:val="18"/>
              </w:rPr>
              <w:t>ед.</w:t>
            </w:r>
          </w:p>
        </w:tc>
        <w:tc>
          <w:tcPr>
            <w:tcW w:w="1134" w:type="dxa"/>
          </w:tcPr>
          <w:p w:rsidR="009773CE" w:rsidRPr="00CE13B3" w:rsidRDefault="009773CE" w:rsidP="00C62078">
            <w:pPr>
              <w:jc w:val="center"/>
              <w:rPr>
                <w:b/>
                <w:color w:val="000000" w:themeColor="text1"/>
                <w:sz w:val="18"/>
                <w:szCs w:val="18"/>
              </w:rPr>
            </w:pPr>
            <w:r w:rsidRPr="00CE13B3">
              <w:rPr>
                <w:b/>
                <w:color w:val="000000" w:themeColor="text1"/>
                <w:sz w:val="18"/>
                <w:szCs w:val="18"/>
              </w:rPr>
              <w:t>Сумма назначенн</w:t>
            </w:r>
            <w:r w:rsidRPr="00CE13B3">
              <w:rPr>
                <w:b/>
                <w:color w:val="000000" w:themeColor="text1"/>
                <w:sz w:val="18"/>
                <w:szCs w:val="18"/>
              </w:rPr>
              <w:lastRenderedPageBreak/>
              <w:t>ых штрафов, руб.</w:t>
            </w:r>
          </w:p>
        </w:tc>
        <w:tc>
          <w:tcPr>
            <w:tcW w:w="879" w:type="dxa"/>
          </w:tcPr>
          <w:p w:rsidR="009773CE" w:rsidRPr="00CE13B3" w:rsidRDefault="009773CE" w:rsidP="00C62078">
            <w:pPr>
              <w:jc w:val="center"/>
              <w:rPr>
                <w:b/>
                <w:color w:val="000000" w:themeColor="text1"/>
                <w:sz w:val="18"/>
                <w:szCs w:val="18"/>
              </w:rPr>
            </w:pPr>
            <w:r w:rsidRPr="00CE13B3">
              <w:rPr>
                <w:b/>
                <w:color w:val="000000" w:themeColor="text1"/>
                <w:sz w:val="18"/>
                <w:szCs w:val="18"/>
              </w:rPr>
              <w:lastRenderedPageBreak/>
              <w:t>Сумма уплаче</w:t>
            </w:r>
            <w:r w:rsidRPr="00CE13B3">
              <w:rPr>
                <w:b/>
                <w:color w:val="000000" w:themeColor="text1"/>
                <w:sz w:val="18"/>
                <w:szCs w:val="18"/>
              </w:rPr>
              <w:lastRenderedPageBreak/>
              <w:t>нных штрафов, руб.</w:t>
            </w:r>
          </w:p>
        </w:tc>
      </w:tr>
      <w:tr w:rsidR="009773CE" w:rsidRPr="00CE13B3" w:rsidTr="00C62078">
        <w:tc>
          <w:tcPr>
            <w:tcW w:w="959" w:type="dxa"/>
            <w:vMerge/>
          </w:tcPr>
          <w:p w:rsidR="009773CE" w:rsidRPr="00CE13B3" w:rsidRDefault="009773CE" w:rsidP="00C62078">
            <w:pPr>
              <w:jc w:val="center"/>
              <w:rPr>
                <w:b/>
                <w:color w:val="000000" w:themeColor="text1"/>
                <w:sz w:val="18"/>
                <w:szCs w:val="18"/>
              </w:rPr>
            </w:pPr>
          </w:p>
        </w:tc>
        <w:tc>
          <w:tcPr>
            <w:tcW w:w="1276" w:type="dxa"/>
          </w:tcPr>
          <w:p w:rsidR="009773CE" w:rsidRPr="00CE13B3" w:rsidRDefault="009773CE" w:rsidP="00C62078">
            <w:pPr>
              <w:jc w:val="center"/>
              <w:rPr>
                <w:b/>
                <w:color w:val="000000" w:themeColor="text1"/>
                <w:sz w:val="18"/>
                <w:szCs w:val="18"/>
              </w:rPr>
            </w:pPr>
            <w:r w:rsidRPr="00CE13B3">
              <w:rPr>
                <w:b/>
                <w:color w:val="000000" w:themeColor="text1"/>
                <w:sz w:val="18"/>
                <w:szCs w:val="18"/>
              </w:rPr>
              <w:t>граждане</w:t>
            </w:r>
          </w:p>
        </w:tc>
        <w:tc>
          <w:tcPr>
            <w:tcW w:w="992" w:type="dxa"/>
          </w:tcPr>
          <w:p w:rsidR="009773CE" w:rsidRPr="00CE13B3" w:rsidRDefault="009773CE" w:rsidP="00C62078">
            <w:pPr>
              <w:jc w:val="center"/>
              <w:rPr>
                <w:b/>
                <w:color w:val="000000" w:themeColor="text1"/>
                <w:sz w:val="18"/>
                <w:szCs w:val="18"/>
              </w:rPr>
            </w:pPr>
            <w:r w:rsidRPr="00CE13B3">
              <w:rPr>
                <w:b/>
                <w:color w:val="000000" w:themeColor="text1"/>
                <w:sz w:val="18"/>
                <w:szCs w:val="18"/>
              </w:rPr>
              <w:t>Должностные лица, ИП</w:t>
            </w:r>
          </w:p>
        </w:tc>
        <w:tc>
          <w:tcPr>
            <w:tcW w:w="992" w:type="dxa"/>
          </w:tcPr>
          <w:p w:rsidR="009773CE" w:rsidRPr="00CE13B3" w:rsidRDefault="009773CE" w:rsidP="00C62078">
            <w:pPr>
              <w:jc w:val="center"/>
              <w:rPr>
                <w:b/>
                <w:color w:val="000000" w:themeColor="text1"/>
                <w:sz w:val="18"/>
                <w:szCs w:val="18"/>
              </w:rPr>
            </w:pPr>
            <w:r w:rsidRPr="00CE13B3">
              <w:rPr>
                <w:b/>
                <w:color w:val="000000" w:themeColor="text1"/>
                <w:sz w:val="18"/>
                <w:szCs w:val="18"/>
              </w:rPr>
              <w:t>Юридические лица</w:t>
            </w:r>
          </w:p>
        </w:tc>
        <w:tc>
          <w:tcPr>
            <w:tcW w:w="992" w:type="dxa"/>
          </w:tcPr>
          <w:p w:rsidR="009773CE" w:rsidRPr="00CE13B3" w:rsidRDefault="009773CE" w:rsidP="00C62078">
            <w:pPr>
              <w:jc w:val="center"/>
              <w:rPr>
                <w:b/>
                <w:color w:val="000000" w:themeColor="text1"/>
                <w:sz w:val="18"/>
                <w:szCs w:val="18"/>
              </w:rPr>
            </w:pPr>
            <w:r w:rsidRPr="00CE13B3">
              <w:rPr>
                <w:b/>
                <w:color w:val="000000" w:themeColor="text1"/>
                <w:sz w:val="18"/>
                <w:szCs w:val="18"/>
              </w:rPr>
              <w:t>Индивидуальные предприниматели</w:t>
            </w:r>
          </w:p>
        </w:tc>
        <w:tc>
          <w:tcPr>
            <w:tcW w:w="851" w:type="dxa"/>
          </w:tcPr>
          <w:p w:rsidR="009773CE" w:rsidRPr="00CE13B3" w:rsidRDefault="009773CE" w:rsidP="00C62078">
            <w:pPr>
              <w:jc w:val="center"/>
              <w:rPr>
                <w:b/>
                <w:color w:val="000000" w:themeColor="text1"/>
                <w:sz w:val="18"/>
                <w:szCs w:val="18"/>
              </w:rPr>
            </w:pPr>
            <w:r w:rsidRPr="00CE13B3">
              <w:rPr>
                <w:b/>
                <w:color w:val="000000" w:themeColor="text1"/>
                <w:sz w:val="18"/>
                <w:szCs w:val="18"/>
              </w:rPr>
              <w:t>штраф</w:t>
            </w:r>
          </w:p>
        </w:tc>
        <w:tc>
          <w:tcPr>
            <w:tcW w:w="992" w:type="dxa"/>
          </w:tcPr>
          <w:p w:rsidR="009773CE" w:rsidRPr="00CE13B3" w:rsidRDefault="009773CE" w:rsidP="00C62078">
            <w:pPr>
              <w:jc w:val="center"/>
              <w:rPr>
                <w:b/>
                <w:color w:val="000000" w:themeColor="text1"/>
                <w:sz w:val="18"/>
                <w:szCs w:val="18"/>
              </w:rPr>
            </w:pPr>
            <w:r w:rsidRPr="00CE13B3">
              <w:rPr>
                <w:b/>
                <w:color w:val="000000" w:themeColor="text1"/>
                <w:sz w:val="18"/>
                <w:szCs w:val="18"/>
              </w:rPr>
              <w:t>предупреждение</w:t>
            </w:r>
          </w:p>
        </w:tc>
        <w:tc>
          <w:tcPr>
            <w:tcW w:w="1276" w:type="dxa"/>
          </w:tcPr>
          <w:p w:rsidR="009773CE" w:rsidRPr="00CE13B3" w:rsidRDefault="009773CE" w:rsidP="00C62078">
            <w:pPr>
              <w:jc w:val="center"/>
              <w:rPr>
                <w:b/>
                <w:color w:val="000000" w:themeColor="text1"/>
                <w:sz w:val="18"/>
                <w:szCs w:val="18"/>
              </w:rPr>
            </w:pPr>
            <w:r w:rsidRPr="00CE13B3">
              <w:rPr>
                <w:b/>
                <w:color w:val="000000" w:themeColor="text1"/>
                <w:sz w:val="18"/>
                <w:szCs w:val="18"/>
              </w:rPr>
              <w:t>прекращено административных дел</w:t>
            </w:r>
          </w:p>
        </w:tc>
        <w:tc>
          <w:tcPr>
            <w:tcW w:w="1134" w:type="dxa"/>
          </w:tcPr>
          <w:p w:rsidR="009773CE" w:rsidRPr="00CE13B3" w:rsidRDefault="009773CE" w:rsidP="00C62078">
            <w:pPr>
              <w:jc w:val="center"/>
              <w:rPr>
                <w:b/>
                <w:color w:val="000000" w:themeColor="text1"/>
                <w:sz w:val="18"/>
                <w:szCs w:val="18"/>
              </w:rPr>
            </w:pPr>
          </w:p>
        </w:tc>
        <w:tc>
          <w:tcPr>
            <w:tcW w:w="879" w:type="dxa"/>
          </w:tcPr>
          <w:p w:rsidR="009773CE" w:rsidRPr="00CE13B3" w:rsidRDefault="009773CE" w:rsidP="00C62078">
            <w:pPr>
              <w:jc w:val="center"/>
              <w:rPr>
                <w:b/>
                <w:color w:val="000000" w:themeColor="text1"/>
                <w:sz w:val="18"/>
                <w:szCs w:val="18"/>
              </w:rPr>
            </w:pPr>
          </w:p>
        </w:tc>
      </w:tr>
      <w:tr w:rsidR="009773CE" w:rsidRPr="00CE13B3" w:rsidTr="00C62078">
        <w:tc>
          <w:tcPr>
            <w:tcW w:w="959" w:type="dxa"/>
          </w:tcPr>
          <w:p w:rsidR="009773CE" w:rsidRPr="00CE13B3" w:rsidRDefault="009773CE" w:rsidP="00C62078">
            <w:pPr>
              <w:jc w:val="center"/>
              <w:rPr>
                <w:color w:val="000000" w:themeColor="text1"/>
                <w:sz w:val="18"/>
                <w:szCs w:val="18"/>
              </w:rPr>
            </w:pPr>
            <w:r w:rsidRPr="00CE13B3">
              <w:rPr>
                <w:color w:val="000000" w:themeColor="text1"/>
                <w:sz w:val="18"/>
                <w:szCs w:val="18"/>
              </w:rPr>
              <w:t>ст. 23</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17</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851" w:type="dxa"/>
          </w:tcPr>
          <w:p w:rsidR="009773CE" w:rsidRPr="00CE13B3" w:rsidRDefault="009773CE" w:rsidP="00C62078">
            <w:pPr>
              <w:jc w:val="center"/>
              <w:rPr>
                <w:color w:val="000000" w:themeColor="text1"/>
                <w:sz w:val="18"/>
                <w:szCs w:val="18"/>
              </w:rPr>
            </w:pPr>
            <w:r w:rsidRPr="00CE13B3">
              <w:rPr>
                <w:color w:val="000000" w:themeColor="text1"/>
                <w:sz w:val="18"/>
                <w:szCs w:val="18"/>
              </w:rPr>
              <w:t>17</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1134" w:type="dxa"/>
          </w:tcPr>
          <w:p w:rsidR="009773CE" w:rsidRPr="00CE13B3" w:rsidRDefault="009773CE" w:rsidP="00C62078">
            <w:pPr>
              <w:jc w:val="center"/>
              <w:rPr>
                <w:color w:val="000000" w:themeColor="text1"/>
                <w:sz w:val="18"/>
                <w:szCs w:val="18"/>
              </w:rPr>
            </w:pPr>
            <w:r w:rsidRPr="00CE13B3">
              <w:rPr>
                <w:color w:val="000000" w:themeColor="text1"/>
                <w:sz w:val="18"/>
                <w:szCs w:val="18"/>
              </w:rPr>
              <w:t>8500</w:t>
            </w:r>
          </w:p>
        </w:tc>
        <w:tc>
          <w:tcPr>
            <w:tcW w:w="879" w:type="dxa"/>
          </w:tcPr>
          <w:p w:rsidR="009773CE" w:rsidRPr="00CE13B3" w:rsidRDefault="009773CE" w:rsidP="00C62078">
            <w:pPr>
              <w:jc w:val="center"/>
              <w:rPr>
                <w:color w:val="000000" w:themeColor="text1"/>
                <w:sz w:val="18"/>
                <w:szCs w:val="18"/>
              </w:rPr>
            </w:pPr>
          </w:p>
        </w:tc>
      </w:tr>
      <w:tr w:rsidR="009773CE" w:rsidRPr="00CE13B3" w:rsidTr="00C62078">
        <w:tc>
          <w:tcPr>
            <w:tcW w:w="959" w:type="dxa"/>
          </w:tcPr>
          <w:p w:rsidR="009773CE" w:rsidRPr="00CE13B3" w:rsidRDefault="009773CE" w:rsidP="00C62078">
            <w:pPr>
              <w:jc w:val="center"/>
              <w:rPr>
                <w:color w:val="000000" w:themeColor="text1"/>
                <w:sz w:val="18"/>
                <w:szCs w:val="18"/>
              </w:rPr>
            </w:pPr>
            <w:r w:rsidRPr="00CE13B3">
              <w:rPr>
                <w:color w:val="000000" w:themeColor="text1"/>
                <w:sz w:val="18"/>
                <w:szCs w:val="18"/>
              </w:rPr>
              <w:t>ч. 1 ст.27</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2</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851" w:type="dxa"/>
          </w:tcPr>
          <w:p w:rsidR="009773CE" w:rsidRPr="00CE13B3" w:rsidRDefault="009773CE" w:rsidP="00C62078">
            <w:pPr>
              <w:jc w:val="center"/>
              <w:rPr>
                <w:color w:val="000000" w:themeColor="text1"/>
                <w:sz w:val="18"/>
                <w:szCs w:val="18"/>
              </w:rPr>
            </w:pPr>
            <w:r w:rsidRPr="00CE13B3">
              <w:rPr>
                <w:color w:val="000000" w:themeColor="text1"/>
                <w:sz w:val="18"/>
                <w:szCs w:val="18"/>
              </w:rPr>
              <w:t>2</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1134" w:type="dxa"/>
          </w:tcPr>
          <w:p w:rsidR="009773CE" w:rsidRPr="00CE13B3" w:rsidRDefault="009773CE" w:rsidP="00C62078">
            <w:pPr>
              <w:jc w:val="center"/>
              <w:rPr>
                <w:color w:val="000000" w:themeColor="text1"/>
                <w:sz w:val="18"/>
                <w:szCs w:val="18"/>
              </w:rPr>
            </w:pPr>
            <w:r w:rsidRPr="00CE13B3">
              <w:rPr>
                <w:color w:val="000000" w:themeColor="text1"/>
                <w:sz w:val="18"/>
                <w:szCs w:val="18"/>
              </w:rPr>
              <w:t>2000</w:t>
            </w:r>
          </w:p>
        </w:tc>
        <w:tc>
          <w:tcPr>
            <w:tcW w:w="879" w:type="dxa"/>
          </w:tcPr>
          <w:p w:rsidR="009773CE" w:rsidRPr="00CE13B3" w:rsidRDefault="009773CE" w:rsidP="00C62078">
            <w:pPr>
              <w:jc w:val="center"/>
              <w:rPr>
                <w:color w:val="000000" w:themeColor="text1"/>
                <w:sz w:val="18"/>
                <w:szCs w:val="18"/>
              </w:rPr>
            </w:pPr>
          </w:p>
        </w:tc>
      </w:tr>
      <w:tr w:rsidR="009773CE" w:rsidRPr="00CE13B3" w:rsidTr="00C62078">
        <w:tc>
          <w:tcPr>
            <w:tcW w:w="959" w:type="dxa"/>
          </w:tcPr>
          <w:p w:rsidR="009773CE" w:rsidRPr="00CE13B3" w:rsidRDefault="009773CE" w:rsidP="00C62078">
            <w:pPr>
              <w:jc w:val="center"/>
              <w:rPr>
                <w:color w:val="000000" w:themeColor="text1"/>
                <w:sz w:val="18"/>
                <w:szCs w:val="18"/>
              </w:rPr>
            </w:pPr>
            <w:r w:rsidRPr="00CE13B3">
              <w:rPr>
                <w:color w:val="000000" w:themeColor="text1"/>
                <w:sz w:val="18"/>
                <w:szCs w:val="18"/>
              </w:rPr>
              <w:t>ч.1 ст.28</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2</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851" w:type="dxa"/>
          </w:tcPr>
          <w:p w:rsidR="009773CE" w:rsidRPr="00CE13B3" w:rsidRDefault="009773CE" w:rsidP="00C62078">
            <w:pPr>
              <w:jc w:val="center"/>
              <w:rPr>
                <w:color w:val="000000" w:themeColor="text1"/>
                <w:sz w:val="18"/>
                <w:szCs w:val="18"/>
              </w:rPr>
            </w:pPr>
            <w:r w:rsidRPr="00CE13B3">
              <w:rPr>
                <w:color w:val="000000" w:themeColor="text1"/>
                <w:sz w:val="18"/>
                <w:szCs w:val="18"/>
              </w:rPr>
              <w:t>2</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1134" w:type="dxa"/>
          </w:tcPr>
          <w:p w:rsidR="009773CE" w:rsidRPr="00CE13B3" w:rsidRDefault="009773CE" w:rsidP="00C62078">
            <w:pPr>
              <w:jc w:val="center"/>
              <w:rPr>
                <w:color w:val="000000" w:themeColor="text1"/>
                <w:sz w:val="18"/>
                <w:szCs w:val="18"/>
              </w:rPr>
            </w:pPr>
            <w:r w:rsidRPr="00CE13B3">
              <w:rPr>
                <w:color w:val="000000" w:themeColor="text1"/>
                <w:sz w:val="18"/>
                <w:szCs w:val="18"/>
              </w:rPr>
              <w:t>2500</w:t>
            </w:r>
          </w:p>
        </w:tc>
        <w:tc>
          <w:tcPr>
            <w:tcW w:w="879" w:type="dxa"/>
          </w:tcPr>
          <w:p w:rsidR="009773CE" w:rsidRPr="00CE13B3" w:rsidRDefault="009773CE" w:rsidP="00C62078">
            <w:pPr>
              <w:jc w:val="center"/>
              <w:rPr>
                <w:color w:val="000000" w:themeColor="text1"/>
                <w:sz w:val="18"/>
                <w:szCs w:val="18"/>
              </w:rPr>
            </w:pPr>
          </w:p>
        </w:tc>
      </w:tr>
      <w:tr w:rsidR="009773CE" w:rsidRPr="00CE13B3" w:rsidTr="00C62078">
        <w:tc>
          <w:tcPr>
            <w:tcW w:w="959" w:type="dxa"/>
          </w:tcPr>
          <w:p w:rsidR="009773CE" w:rsidRPr="00CE13B3" w:rsidRDefault="009773CE" w:rsidP="00C62078">
            <w:pPr>
              <w:jc w:val="center"/>
              <w:rPr>
                <w:color w:val="000000" w:themeColor="text1"/>
                <w:sz w:val="18"/>
                <w:szCs w:val="18"/>
              </w:rPr>
            </w:pPr>
            <w:r w:rsidRPr="00CE13B3">
              <w:rPr>
                <w:color w:val="000000" w:themeColor="text1"/>
                <w:sz w:val="18"/>
                <w:szCs w:val="18"/>
              </w:rPr>
              <w:t>ч. 2 ст.28</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1</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1</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851" w:type="dxa"/>
          </w:tcPr>
          <w:p w:rsidR="009773CE" w:rsidRPr="00CE13B3" w:rsidRDefault="009773CE" w:rsidP="00C62078">
            <w:pPr>
              <w:jc w:val="center"/>
              <w:rPr>
                <w:color w:val="000000" w:themeColor="text1"/>
                <w:sz w:val="18"/>
                <w:szCs w:val="18"/>
              </w:rPr>
            </w:pPr>
            <w:r w:rsidRPr="00CE13B3">
              <w:rPr>
                <w:color w:val="000000" w:themeColor="text1"/>
                <w:sz w:val="18"/>
                <w:szCs w:val="18"/>
              </w:rPr>
              <w:t>1</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1</w:t>
            </w:r>
          </w:p>
        </w:tc>
        <w:tc>
          <w:tcPr>
            <w:tcW w:w="1134" w:type="dxa"/>
          </w:tcPr>
          <w:p w:rsidR="009773CE" w:rsidRPr="00CE13B3" w:rsidRDefault="009773CE" w:rsidP="00C62078">
            <w:pPr>
              <w:jc w:val="center"/>
              <w:rPr>
                <w:color w:val="000000" w:themeColor="text1"/>
                <w:sz w:val="18"/>
                <w:szCs w:val="18"/>
              </w:rPr>
            </w:pPr>
            <w:r w:rsidRPr="00CE13B3">
              <w:rPr>
                <w:color w:val="000000" w:themeColor="text1"/>
                <w:sz w:val="18"/>
                <w:szCs w:val="18"/>
              </w:rPr>
              <w:t>4000</w:t>
            </w:r>
          </w:p>
        </w:tc>
        <w:tc>
          <w:tcPr>
            <w:tcW w:w="879" w:type="dxa"/>
          </w:tcPr>
          <w:p w:rsidR="009773CE" w:rsidRPr="00CE13B3" w:rsidRDefault="009773CE" w:rsidP="00C62078">
            <w:pPr>
              <w:jc w:val="center"/>
              <w:rPr>
                <w:color w:val="000000" w:themeColor="text1"/>
                <w:sz w:val="18"/>
                <w:szCs w:val="18"/>
              </w:rPr>
            </w:pPr>
          </w:p>
        </w:tc>
      </w:tr>
      <w:tr w:rsidR="009773CE" w:rsidRPr="00CE13B3" w:rsidTr="00C62078">
        <w:tc>
          <w:tcPr>
            <w:tcW w:w="959" w:type="dxa"/>
          </w:tcPr>
          <w:p w:rsidR="009773CE" w:rsidRPr="00CE13B3" w:rsidRDefault="009773CE" w:rsidP="00C62078">
            <w:pPr>
              <w:jc w:val="center"/>
              <w:rPr>
                <w:color w:val="000000" w:themeColor="text1"/>
                <w:sz w:val="18"/>
                <w:szCs w:val="18"/>
              </w:rPr>
            </w:pPr>
            <w:r w:rsidRPr="00CE13B3">
              <w:rPr>
                <w:color w:val="000000" w:themeColor="text1"/>
                <w:sz w:val="18"/>
                <w:szCs w:val="18"/>
              </w:rPr>
              <w:t>ч.1 ст.29</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14</w:t>
            </w:r>
          </w:p>
          <w:p w:rsidR="009773CE" w:rsidRPr="00CE13B3" w:rsidRDefault="009773CE" w:rsidP="00C62078">
            <w:pPr>
              <w:jc w:val="center"/>
              <w:rPr>
                <w:color w:val="000000" w:themeColor="text1"/>
                <w:sz w:val="18"/>
                <w:szCs w:val="18"/>
              </w:rPr>
            </w:pPr>
            <w:r w:rsidRPr="00CE13B3">
              <w:rPr>
                <w:color w:val="000000" w:themeColor="text1"/>
                <w:sz w:val="18"/>
                <w:szCs w:val="18"/>
              </w:rPr>
              <w:t xml:space="preserve"> (2 еще не рассмотрено) </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4</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851" w:type="dxa"/>
          </w:tcPr>
          <w:p w:rsidR="009773CE" w:rsidRPr="00CE13B3" w:rsidRDefault="009773CE" w:rsidP="00C62078">
            <w:pPr>
              <w:jc w:val="center"/>
              <w:rPr>
                <w:color w:val="000000" w:themeColor="text1"/>
                <w:sz w:val="18"/>
                <w:szCs w:val="18"/>
              </w:rPr>
            </w:pPr>
            <w:r w:rsidRPr="00CE13B3">
              <w:rPr>
                <w:color w:val="000000" w:themeColor="text1"/>
                <w:sz w:val="18"/>
                <w:szCs w:val="18"/>
              </w:rPr>
              <w:t>11</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5</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1134" w:type="dxa"/>
          </w:tcPr>
          <w:p w:rsidR="009773CE" w:rsidRPr="00CE13B3" w:rsidRDefault="009773CE" w:rsidP="00C62078">
            <w:pPr>
              <w:jc w:val="center"/>
              <w:rPr>
                <w:color w:val="000000" w:themeColor="text1"/>
                <w:sz w:val="18"/>
                <w:szCs w:val="18"/>
              </w:rPr>
            </w:pPr>
            <w:r w:rsidRPr="00CE13B3">
              <w:rPr>
                <w:color w:val="000000" w:themeColor="text1"/>
                <w:sz w:val="18"/>
                <w:szCs w:val="18"/>
              </w:rPr>
              <w:t>21000</w:t>
            </w:r>
          </w:p>
        </w:tc>
        <w:tc>
          <w:tcPr>
            <w:tcW w:w="879" w:type="dxa"/>
          </w:tcPr>
          <w:p w:rsidR="009773CE" w:rsidRPr="00CE13B3" w:rsidRDefault="009773CE" w:rsidP="00C62078">
            <w:pPr>
              <w:jc w:val="center"/>
              <w:rPr>
                <w:color w:val="000000" w:themeColor="text1"/>
                <w:sz w:val="18"/>
                <w:szCs w:val="18"/>
              </w:rPr>
            </w:pPr>
            <w:r w:rsidRPr="00CE13B3">
              <w:rPr>
                <w:color w:val="000000" w:themeColor="text1"/>
                <w:sz w:val="18"/>
                <w:szCs w:val="18"/>
              </w:rPr>
              <w:t>9000</w:t>
            </w:r>
          </w:p>
        </w:tc>
      </w:tr>
      <w:tr w:rsidR="009773CE" w:rsidRPr="00CE13B3" w:rsidTr="00C62078">
        <w:tc>
          <w:tcPr>
            <w:tcW w:w="959" w:type="dxa"/>
          </w:tcPr>
          <w:p w:rsidR="009773CE" w:rsidRPr="00CE13B3" w:rsidRDefault="009773CE" w:rsidP="00C62078">
            <w:pPr>
              <w:jc w:val="center"/>
              <w:rPr>
                <w:color w:val="000000" w:themeColor="text1"/>
                <w:sz w:val="18"/>
                <w:szCs w:val="18"/>
              </w:rPr>
            </w:pPr>
            <w:r w:rsidRPr="00CE13B3">
              <w:rPr>
                <w:color w:val="000000" w:themeColor="text1"/>
                <w:sz w:val="18"/>
                <w:szCs w:val="18"/>
              </w:rPr>
              <w:t>ч.1 ст.29.1</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11</w:t>
            </w:r>
          </w:p>
          <w:p w:rsidR="009773CE" w:rsidRPr="00CE13B3" w:rsidRDefault="009773CE" w:rsidP="00C62078">
            <w:pPr>
              <w:jc w:val="center"/>
              <w:rPr>
                <w:color w:val="000000" w:themeColor="text1"/>
                <w:sz w:val="18"/>
                <w:szCs w:val="18"/>
              </w:rPr>
            </w:pPr>
            <w:r w:rsidRPr="00CE13B3">
              <w:rPr>
                <w:color w:val="000000" w:themeColor="text1"/>
                <w:sz w:val="18"/>
                <w:szCs w:val="18"/>
              </w:rPr>
              <w:t xml:space="preserve"> (2 не рассмотрено)</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1</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851" w:type="dxa"/>
          </w:tcPr>
          <w:p w:rsidR="009773CE" w:rsidRPr="00CE13B3" w:rsidRDefault="009773CE" w:rsidP="00C62078">
            <w:pPr>
              <w:jc w:val="center"/>
              <w:rPr>
                <w:color w:val="000000" w:themeColor="text1"/>
                <w:sz w:val="18"/>
                <w:szCs w:val="18"/>
              </w:rPr>
            </w:pPr>
            <w:r w:rsidRPr="00CE13B3">
              <w:rPr>
                <w:color w:val="000000" w:themeColor="text1"/>
                <w:sz w:val="18"/>
                <w:szCs w:val="18"/>
              </w:rPr>
              <w:t>1</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8</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1</w:t>
            </w:r>
          </w:p>
        </w:tc>
        <w:tc>
          <w:tcPr>
            <w:tcW w:w="1134" w:type="dxa"/>
          </w:tcPr>
          <w:p w:rsidR="009773CE" w:rsidRPr="00CE13B3" w:rsidRDefault="009773CE" w:rsidP="00C62078">
            <w:pPr>
              <w:jc w:val="center"/>
              <w:rPr>
                <w:color w:val="000000" w:themeColor="text1"/>
                <w:sz w:val="18"/>
                <w:szCs w:val="18"/>
              </w:rPr>
            </w:pPr>
            <w:r w:rsidRPr="00CE13B3">
              <w:rPr>
                <w:color w:val="000000" w:themeColor="text1"/>
                <w:sz w:val="18"/>
                <w:szCs w:val="18"/>
              </w:rPr>
              <w:t>10000</w:t>
            </w:r>
          </w:p>
        </w:tc>
        <w:tc>
          <w:tcPr>
            <w:tcW w:w="879" w:type="dxa"/>
          </w:tcPr>
          <w:p w:rsidR="009773CE" w:rsidRPr="00CE13B3" w:rsidRDefault="009773CE" w:rsidP="00C62078">
            <w:pPr>
              <w:jc w:val="center"/>
              <w:rPr>
                <w:color w:val="000000" w:themeColor="text1"/>
                <w:sz w:val="18"/>
                <w:szCs w:val="18"/>
              </w:rPr>
            </w:pPr>
          </w:p>
        </w:tc>
      </w:tr>
      <w:tr w:rsidR="009773CE" w:rsidRPr="00CE13B3" w:rsidTr="00C62078">
        <w:tc>
          <w:tcPr>
            <w:tcW w:w="959" w:type="dxa"/>
          </w:tcPr>
          <w:p w:rsidR="009773CE" w:rsidRPr="00CE13B3" w:rsidRDefault="009773CE" w:rsidP="00C62078">
            <w:pPr>
              <w:jc w:val="center"/>
              <w:rPr>
                <w:color w:val="000000" w:themeColor="text1"/>
                <w:sz w:val="18"/>
                <w:szCs w:val="18"/>
              </w:rPr>
            </w:pPr>
            <w:r w:rsidRPr="00CE13B3">
              <w:rPr>
                <w:color w:val="000000" w:themeColor="text1"/>
                <w:sz w:val="18"/>
                <w:szCs w:val="18"/>
              </w:rPr>
              <w:t>п. 2 ст.30.1</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15</w:t>
            </w:r>
          </w:p>
          <w:p w:rsidR="009773CE" w:rsidRPr="00CE13B3" w:rsidRDefault="009773CE" w:rsidP="00C62078">
            <w:pPr>
              <w:jc w:val="center"/>
              <w:rPr>
                <w:color w:val="000000" w:themeColor="text1"/>
                <w:sz w:val="18"/>
                <w:szCs w:val="18"/>
              </w:rPr>
            </w:pPr>
            <w:r w:rsidRPr="00CE13B3">
              <w:rPr>
                <w:color w:val="000000" w:themeColor="text1"/>
                <w:sz w:val="18"/>
                <w:szCs w:val="18"/>
              </w:rPr>
              <w:t>(2 еще не рассмотрено)</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851" w:type="dxa"/>
          </w:tcPr>
          <w:p w:rsidR="009773CE" w:rsidRPr="00CE13B3" w:rsidRDefault="009773CE" w:rsidP="00C62078">
            <w:pPr>
              <w:jc w:val="center"/>
              <w:rPr>
                <w:color w:val="000000" w:themeColor="text1"/>
                <w:sz w:val="18"/>
                <w:szCs w:val="18"/>
              </w:rPr>
            </w:pPr>
            <w:r w:rsidRPr="00CE13B3">
              <w:rPr>
                <w:color w:val="000000" w:themeColor="text1"/>
                <w:sz w:val="18"/>
                <w:szCs w:val="18"/>
              </w:rPr>
              <w:t>11</w:t>
            </w:r>
          </w:p>
        </w:tc>
        <w:tc>
          <w:tcPr>
            <w:tcW w:w="992" w:type="dxa"/>
          </w:tcPr>
          <w:p w:rsidR="009773CE" w:rsidRPr="00CE13B3" w:rsidRDefault="009773CE" w:rsidP="00C62078">
            <w:pPr>
              <w:jc w:val="center"/>
              <w:rPr>
                <w:color w:val="000000" w:themeColor="text1"/>
                <w:sz w:val="18"/>
                <w:szCs w:val="18"/>
              </w:rPr>
            </w:pPr>
            <w:r w:rsidRPr="00CE13B3">
              <w:rPr>
                <w:color w:val="000000" w:themeColor="text1"/>
                <w:sz w:val="18"/>
                <w:szCs w:val="18"/>
              </w:rPr>
              <w:t>2</w:t>
            </w:r>
          </w:p>
        </w:tc>
        <w:tc>
          <w:tcPr>
            <w:tcW w:w="1276" w:type="dxa"/>
          </w:tcPr>
          <w:p w:rsidR="009773CE" w:rsidRPr="00CE13B3" w:rsidRDefault="009773CE" w:rsidP="00C62078">
            <w:pPr>
              <w:jc w:val="center"/>
              <w:rPr>
                <w:color w:val="000000" w:themeColor="text1"/>
                <w:sz w:val="18"/>
                <w:szCs w:val="18"/>
              </w:rPr>
            </w:pPr>
            <w:r w:rsidRPr="00CE13B3">
              <w:rPr>
                <w:color w:val="000000" w:themeColor="text1"/>
                <w:sz w:val="18"/>
                <w:szCs w:val="18"/>
              </w:rPr>
              <w:t>-</w:t>
            </w:r>
          </w:p>
        </w:tc>
        <w:tc>
          <w:tcPr>
            <w:tcW w:w="1134" w:type="dxa"/>
          </w:tcPr>
          <w:p w:rsidR="009773CE" w:rsidRPr="00CE13B3" w:rsidRDefault="009773CE" w:rsidP="00C62078">
            <w:pPr>
              <w:jc w:val="center"/>
              <w:rPr>
                <w:color w:val="000000" w:themeColor="text1"/>
                <w:sz w:val="18"/>
                <w:szCs w:val="18"/>
              </w:rPr>
            </w:pPr>
            <w:r w:rsidRPr="00CE13B3">
              <w:rPr>
                <w:color w:val="000000" w:themeColor="text1"/>
                <w:sz w:val="18"/>
                <w:szCs w:val="18"/>
              </w:rPr>
              <w:t>13000</w:t>
            </w:r>
          </w:p>
        </w:tc>
        <w:tc>
          <w:tcPr>
            <w:tcW w:w="879" w:type="dxa"/>
          </w:tcPr>
          <w:p w:rsidR="009773CE" w:rsidRPr="00CE13B3" w:rsidRDefault="009773CE" w:rsidP="00C62078">
            <w:pPr>
              <w:jc w:val="center"/>
              <w:rPr>
                <w:color w:val="000000" w:themeColor="text1"/>
                <w:sz w:val="18"/>
                <w:szCs w:val="18"/>
              </w:rPr>
            </w:pPr>
            <w:r w:rsidRPr="00CE13B3">
              <w:rPr>
                <w:color w:val="000000" w:themeColor="text1"/>
                <w:sz w:val="18"/>
                <w:szCs w:val="18"/>
              </w:rPr>
              <w:t>7500</w:t>
            </w:r>
          </w:p>
        </w:tc>
      </w:tr>
      <w:tr w:rsidR="009773CE" w:rsidRPr="00CE13B3" w:rsidTr="00C62078">
        <w:tc>
          <w:tcPr>
            <w:tcW w:w="5211" w:type="dxa"/>
            <w:gridSpan w:val="5"/>
          </w:tcPr>
          <w:p w:rsidR="009773CE" w:rsidRPr="00CE13B3" w:rsidRDefault="009773CE" w:rsidP="00C62078">
            <w:pPr>
              <w:jc w:val="center"/>
              <w:rPr>
                <w:b/>
                <w:color w:val="000000" w:themeColor="text1"/>
                <w:sz w:val="18"/>
                <w:szCs w:val="18"/>
              </w:rPr>
            </w:pPr>
            <w:r w:rsidRPr="00CE13B3">
              <w:rPr>
                <w:b/>
                <w:color w:val="000000" w:themeColor="text1"/>
                <w:sz w:val="18"/>
                <w:szCs w:val="18"/>
              </w:rPr>
              <w:t>ИТОГО составлено 68 протоколов из них:</w:t>
            </w:r>
          </w:p>
          <w:p w:rsidR="009773CE" w:rsidRPr="00CE13B3" w:rsidRDefault="009773CE" w:rsidP="00C62078">
            <w:pPr>
              <w:jc w:val="center"/>
              <w:rPr>
                <w:b/>
                <w:color w:val="000000" w:themeColor="text1"/>
                <w:sz w:val="18"/>
                <w:szCs w:val="18"/>
              </w:rPr>
            </w:pPr>
            <w:r w:rsidRPr="00CE13B3">
              <w:rPr>
                <w:b/>
                <w:color w:val="000000" w:themeColor="text1"/>
                <w:sz w:val="18"/>
                <w:szCs w:val="18"/>
              </w:rPr>
              <w:t xml:space="preserve"> на граждан- 51 шт., </w:t>
            </w:r>
          </w:p>
          <w:p w:rsidR="009773CE" w:rsidRPr="00CE13B3" w:rsidRDefault="009773CE" w:rsidP="00C62078">
            <w:pPr>
              <w:jc w:val="center"/>
              <w:rPr>
                <w:b/>
                <w:color w:val="000000" w:themeColor="text1"/>
                <w:sz w:val="18"/>
                <w:szCs w:val="18"/>
              </w:rPr>
            </w:pPr>
            <w:r w:rsidRPr="00CE13B3">
              <w:rPr>
                <w:b/>
                <w:color w:val="000000" w:themeColor="text1"/>
                <w:sz w:val="18"/>
                <w:szCs w:val="18"/>
              </w:rPr>
              <w:t>на должностных лиц, ИП -16 шт.,</w:t>
            </w:r>
          </w:p>
          <w:p w:rsidR="009773CE" w:rsidRPr="00CE13B3" w:rsidRDefault="009773CE" w:rsidP="00C62078">
            <w:pPr>
              <w:jc w:val="center"/>
              <w:rPr>
                <w:b/>
                <w:color w:val="000000" w:themeColor="text1"/>
                <w:sz w:val="18"/>
                <w:szCs w:val="18"/>
              </w:rPr>
            </w:pPr>
            <w:r w:rsidRPr="00CE13B3">
              <w:rPr>
                <w:b/>
                <w:color w:val="000000" w:themeColor="text1"/>
                <w:sz w:val="18"/>
                <w:szCs w:val="18"/>
              </w:rPr>
              <w:t xml:space="preserve"> на юридических лиц-1 шт.</w:t>
            </w:r>
          </w:p>
        </w:tc>
        <w:tc>
          <w:tcPr>
            <w:tcW w:w="3119" w:type="dxa"/>
            <w:gridSpan w:val="3"/>
          </w:tcPr>
          <w:p w:rsidR="009773CE" w:rsidRPr="00CE13B3" w:rsidRDefault="009773CE" w:rsidP="00C62078">
            <w:pPr>
              <w:jc w:val="center"/>
              <w:rPr>
                <w:b/>
                <w:color w:val="000000" w:themeColor="text1"/>
                <w:sz w:val="18"/>
                <w:szCs w:val="18"/>
              </w:rPr>
            </w:pPr>
            <w:r w:rsidRPr="00CE13B3">
              <w:rPr>
                <w:b/>
                <w:color w:val="000000" w:themeColor="text1"/>
                <w:sz w:val="18"/>
                <w:szCs w:val="18"/>
              </w:rPr>
              <w:t>Итого вынесено 61 решение из них:</w:t>
            </w:r>
          </w:p>
          <w:p w:rsidR="009773CE" w:rsidRPr="00CE13B3" w:rsidRDefault="009773CE" w:rsidP="00C62078">
            <w:pPr>
              <w:jc w:val="center"/>
              <w:rPr>
                <w:b/>
                <w:color w:val="000000" w:themeColor="text1"/>
                <w:sz w:val="18"/>
                <w:szCs w:val="18"/>
              </w:rPr>
            </w:pPr>
            <w:r w:rsidRPr="00CE13B3">
              <w:rPr>
                <w:b/>
                <w:color w:val="000000" w:themeColor="text1"/>
                <w:sz w:val="18"/>
                <w:szCs w:val="18"/>
              </w:rPr>
              <w:t xml:space="preserve">штрафов-44 шт., </w:t>
            </w:r>
          </w:p>
          <w:p w:rsidR="009773CE" w:rsidRPr="00CE13B3" w:rsidRDefault="009773CE" w:rsidP="00C62078">
            <w:pPr>
              <w:jc w:val="center"/>
              <w:rPr>
                <w:b/>
                <w:color w:val="000000" w:themeColor="text1"/>
                <w:sz w:val="18"/>
                <w:szCs w:val="18"/>
              </w:rPr>
            </w:pPr>
            <w:r w:rsidRPr="00CE13B3">
              <w:rPr>
                <w:b/>
                <w:color w:val="000000" w:themeColor="text1"/>
                <w:sz w:val="18"/>
                <w:szCs w:val="18"/>
              </w:rPr>
              <w:t>предупреждений-15 шт.,</w:t>
            </w:r>
          </w:p>
          <w:p w:rsidR="009773CE" w:rsidRPr="00CE13B3" w:rsidRDefault="009773CE" w:rsidP="00C62078">
            <w:pPr>
              <w:jc w:val="center"/>
              <w:rPr>
                <w:b/>
                <w:color w:val="000000" w:themeColor="text1"/>
                <w:sz w:val="18"/>
                <w:szCs w:val="18"/>
              </w:rPr>
            </w:pPr>
            <w:r w:rsidRPr="00CE13B3">
              <w:rPr>
                <w:b/>
                <w:color w:val="000000" w:themeColor="text1"/>
                <w:sz w:val="18"/>
                <w:szCs w:val="18"/>
              </w:rPr>
              <w:t>прекращено 2 шт. административных дел</w:t>
            </w:r>
          </w:p>
        </w:tc>
        <w:tc>
          <w:tcPr>
            <w:tcW w:w="1134" w:type="dxa"/>
          </w:tcPr>
          <w:p w:rsidR="009773CE" w:rsidRPr="00CE13B3" w:rsidRDefault="009773CE" w:rsidP="00C62078">
            <w:pPr>
              <w:jc w:val="center"/>
              <w:rPr>
                <w:b/>
                <w:color w:val="000000" w:themeColor="text1"/>
                <w:sz w:val="18"/>
                <w:szCs w:val="18"/>
              </w:rPr>
            </w:pPr>
            <w:r w:rsidRPr="00CE13B3">
              <w:rPr>
                <w:b/>
                <w:color w:val="000000" w:themeColor="text1"/>
                <w:sz w:val="18"/>
                <w:szCs w:val="18"/>
              </w:rPr>
              <w:t>Итого сумма назначенных штрафов составляет  59 000 руб.</w:t>
            </w:r>
          </w:p>
        </w:tc>
        <w:tc>
          <w:tcPr>
            <w:tcW w:w="879" w:type="dxa"/>
          </w:tcPr>
          <w:p w:rsidR="009773CE" w:rsidRPr="00CE13B3" w:rsidRDefault="009773CE" w:rsidP="00C62078">
            <w:pPr>
              <w:jc w:val="center"/>
              <w:rPr>
                <w:b/>
                <w:color w:val="000000" w:themeColor="text1"/>
                <w:sz w:val="18"/>
                <w:szCs w:val="18"/>
              </w:rPr>
            </w:pPr>
            <w:r w:rsidRPr="00CE13B3">
              <w:rPr>
                <w:b/>
                <w:color w:val="000000" w:themeColor="text1"/>
                <w:sz w:val="18"/>
                <w:szCs w:val="18"/>
              </w:rPr>
              <w:t>Итого сумма взысканных штрафов составляет 16 500 руб.</w:t>
            </w:r>
          </w:p>
        </w:tc>
      </w:tr>
    </w:tbl>
    <w:p w:rsidR="009773CE" w:rsidRPr="00CE13B3" w:rsidRDefault="009773CE" w:rsidP="009773CE">
      <w:pPr>
        <w:ind w:firstLine="708"/>
        <w:jc w:val="both"/>
        <w:rPr>
          <w:color w:val="000000" w:themeColor="text1"/>
          <w:sz w:val="28"/>
          <w:szCs w:val="28"/>
        </w:rPr>
      </w:pPr>
    </w:p>
    <w:p w:rsidR="009773CE" w:rsidRPr="00CE13B3" w:rsidRDefault="009773CE" w:rsidP="009773CE">
      <w:pPr>
        <w:ind w:firstLine="708"/>
        <w:jc w:val="both"/>
        <w:rPr>
          <w:sz w:val="28"/>
          <w:szCs w:val="28"/>
        </w:rPr>
      </w:pPr>
      <w:r w:rsidRPr="00CE13B3">
        <w:rPr>
          <w:color w:val="000000" w:themeColor="text1"/>
          <w:sz w:val="28"/>
          <w:szCs w:val="28"/>
        </w:rPr>
        <w:t>За указанный период сектором направлены ответы на 31 о</w:t>
      </w:r>
      <w:r w:rsidRPr="00CE13B3">
        <w:rPr>
          <w:sz w:val="28"/>
          <w:szCs w:val="28"/>
        </w:rPr>
        <w:t>бращение граждан города Нефтеюганска.</w:t>
      </w:r>
    </w:p>
    <w:p w:rsidR="009773CE" w:rsidRDefault="009773CE" w:rsidP="009773CE">
      <w:pPr>
        <w:autoSpaceDE w:val="0"/>
        <w:autoSpaceDN w:val="0"/>
        <w:adjustRightInd w:val="0"/>
        <w:ind w:firstLine="709"/>
        <w:jc w:val="center"/>
        <w:outlineLvl w:val="0"/>
        <w:rPr>
          <w:b/>
          <w:sz w:val="28"/>
          <w:szCs w:val="28"/>
          <w:lang w:eastAsia="en-US"/>
        </w:rPr>
      </w:pPr>
    </w:p>
    <w:p w:rsidR="009773CE" w:rsidRPr="00B92AB6" w:rsidRDefault="009773CE" w:rsidP="009773CE">
      <w:pPr>
        <w:autoSpaceDE w:val="0"/>
        <w:autoSpaceDN w:val="0"/>
        <w:adjustRightInd w:val="0"/>
        <w:ind w:firstLine="709"/>
        <w:jc w:val="center"/>
        <w:outlineLvl w:val="0"/>
        <w:rPr>
          <w:sz w:val="28"/>
          <w:szCs w:val="28"/>
          <w:lang w:eastAsia="en-US"/>
        </w:rPr>
      </w:pPr>
      <w:r w:rsidRPr="00B92AB6">
        <w:rPr>
          <w:b/>
          <w:sz w:val="28"/>
          <w:szCs w:val="28"/>
          <w:lang w:eastAsia="en-US"/>
        </w:rPr>
        <w:t>Освещение деятельности в СМИ</w:t>
      </w:r>
    </w:p>
    <w:p w:rsidR="009773CE" w:rsidRPr="00B92AB6" w:rsidRDefault="009773CE" w:rsidP="009773CE">
      <w:pPr>
        <w:ind w:firstLine="708"/>
        <w:jc w:val="both"/>
        <w:rPr>
          <w:sz w:val="28"/>
          <w:szCs w:val="28"/>
          <w:lang w:eastAsia="en-US"/>
        </w:rPr>
      </w:pPr>
      <w:r w:rsidRPr="00B92AB6">
        <w:rPr>
          <w:sz w:val="28"/>
          <w:szCs w:val="28"/>
          <w:lang w:eastAsia="en-US"/>
        </w:rPr>
        <w:t xml:space="preserve">В целях оперативного реагирования на обращения жителей </w:t>
      </w:r>
      <w:proofErr w:type="gramStart"/>
      <w:r w:rsidRPr="00B92AB6">
        <w:rPr>
          <w:sz w:val="28"/>
          <w:szCs w:val="28"/>
          <w:lang w:eastAsia="en-US"/>
        </w:rPr>
        <w:t xml:space="preserve">города, </w:t>
      </w:r>
      <w:r>
        <w:rPr>
          <w:sz w:val="28"/>
          <w:szCs w:val="28"/>
          <w:lang w:eastAsia="en-US"/>
        </w:rPr>
        <w:t xml:space="preserve">  </w:t>
      </w:r>
      <w:proofErr w:type="gramEnd"/>
      <w:r>
        <w:rPr>
          <w:sz w:val="28"/>
          <w:szCs w:val="28"/>
          <w:lang w:eastAsia="en-US"/>
        </w:rPr>
        <w:t xml:space="preserve">           </w:t>
      </w:r>
      <w:r w:rsidRPr="00B92AB6">
        <w:rPr>
          <w:sz w:val="28"/>
          <w:szCs w:val="28"/>
          <w:lang w:eastAsia="en-US"/>
        </w:rPr>
        <w:t xml:space="preserve">размещенные в социальных сетях, ведется постоянный мониторинг отдельных </w:t>
      </w:r>
      <w:r>
        <w:rPr>
          <w:sz w:val="28"/>
          <w:szCs w:val="28"/>
          <w:lang w:eastAsia="en-US"/>
        </w:rPr>
        <w:t xml:space="preserve">    </w:t>
      </w:r>
      <w:r w:rsidRPr="00B92AB6">
        <w:rPr>
          <w:sz w:val="28"/>
          <w:szCs w:val="28"/>
          <w:lang w:eastAsia="en-US"/>
        </w:rPr>
        <w:t>городских форумов, содержащих факты о нарушениях  Правил благоустройства территории города</w:t>
      </w:r>
      <w:r>
        <w:rPr>
          <w:sz w:val="28"/>
          <w:szCs w:val="28"/>
          <w:lang w:eastAsia="en-US"/>
        </w:rPr>
        <w:t xml:space="preserve">, жилищного </w:t>
      </w:r>
      <w:r w:rsidRPr="00B92AB6">
        <w:rPr>
          <w:sz w:val="28"/>
          <w:szCs w:val="28"/>
          <w:lang w:eastAsia="en-US"/>
        </w:rPr>
        <w:t xml:space="preserve"> и </w:t>
      </w:r>
      <w:r>
        <w:rPr>
          <w:sz w:val="28"/>
          <w:szCs w:val="28"/>
          <w:lang w:eastAsia="en-US"/>
        </w:rPr>
        <w:t>з</w:t>
      </w:r>
      <w:r w:rsidRPr="00B92AB6">
        <w:rPr>
          <w:sz w:val="28"/>
          <w:szCs w:val="28"/>
          <w:lang w:eastAsia="en-US"/>
        </w:rPr>
        <w:t xml:space="preserve">емельного законодательства. Так же подобные  сообщения о фактах нарушений  поступают на электронный адрес Службы </w:t>
      </w:r>
      <w:r>
        <w:rPr>
          <w:sz w:val="28"/>
          <w:szCs w:val="28"/>
          <w:lang w:eastAsia="en-US"/>
        </w:rPr>
        <w:t xml:space="preserve">      </w:t>
      </w:r>
      <w:hyperlink r:id="rId7" w:history="1">
        <w:r w:rsidRPr="00B92AB6">
          <w:rPr>
            <w:color w:val="0000FF"/>
            <w:sz w:val="28"/>
            <w:szCs w:val="28"/>
            <w:lang w:val="en-US" w:eastAsia="en-US"/>
          </w:rPr>
          <w:t>smk</w:t>
        </w:r>
        <w:r w:rsidRPr="00B92AB6">
          <w:rPr>
            <w:color w:val="0000FF"/>
            <w:sz w:val="28"/>
            <w:szCs w:val="28"/>
            <w:lang w:eastAsia="en-US"/>
          </w:rPr>
          <w:t>@</w:t>
        </w:r>
        <w:r w:rsidRPr="00B92AB6">
          <w:rPr>
            <w:color w:val="0000FF"/>
            <w:sz w:val="28"/>
            <w:szCs w:val="28"/>
            <w:lang w:val="en-US" w:eastAsia="en-US"/>
          </w:rPr>
          <w:t>admugansk</w:t>
        </w:r>
        <w:r w:rsidRPr="00B92AB6">
          <w:rPr>
            <w:color w:val="0000FF"/>
            <w:sz w:val="28"/>
            <w:szCs w:val="28"/>
            <w:lang w:eastAsia="en-US"/>
          </w:rPr>
          <w:t>.</w:t>
        </w:r>
        <w:proofErr w:type="spellStart"/>
        <w:r w:rsidRPr="00B92AB6">
          <w:rPr>
            <w:color w:val="0000FF"/>
            <w:sz w:val="28"/>
            <w:szCs w:val="28"/>
            <w:lang w:val="en-US" w:eastAsia="en-US"/>
          </w:rPr>
          <w:t>ru</w:t>
        </w:r>
        <w:proofErr w:type="spellEnd"/>
      </w:hyperlink>
      <w:r w:rsidRPr="00B92AB6">
        <w:rPr>
          <w:sz w:val="28"/>
          <w:szCs w:val="28"/>
          <w:lang w:eastAsia="en-US"/>
        </w:rPr>
        <w:t>. По результатам мероприятий даются разъяснения.</w:t>
      </w:r>
    </w:p>
    <w:p w:rsidR="009773CE" w:rsidRDefault="009773CE" w:rsidP="009773CE">
      <w:pPr>
        <w:ind w:firstLine="709"/>
        <w:jc w:val="both"/>
        <w:rPr>
          <w:bCs/>
          <w:sz w:val="27"/>
          <w:szCs w:val="27"/>
        </w:rPr>
      </w:pPr>
    </w:p>
    <w:p w:rsidR="00610750" w:rsidRDefault="00610750">
      <w:bookmarkStart w:id="0" w:name="_GoBack"/>
      <w:bookmarkEnd w:id="0"/>
    </w:p>
    <w:sectPr w:rsidR="006107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3CE"/>
    <w:rsid w:val="00610750"/>
    <w:rsid w:val="009773CE"/>
    <w:rsid w:val="00E84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4614A-ECBD-4068-BADF-EBDCDA35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3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773CE"/>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73CE"/>
    <w:rPr>
      <w:rFonts w:ascii="Times New Roman" w:eastAsia="Times New Roman" w:hAnsi="Times New Roman" w:cs="Times New Roman"/>
      <w:sz w:val="28"/>
      <w:szCs w:val="20"/>
      <w:lang w:eastAsia="ru-RU"/>
    </w:rPr>
  </w:style>
  <w:style w:type="table" w:styleId="a3">
    <w:name w:val="Table Grid"/>
    <w:basedOn w:val="a1"/>
    <w:rsid w:val="009773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9773CE"/>
    <w:rPr>
      <w:color w:val="0000FF"/>
      <w:u w:val="single"/>
    </w:rPr>
  </w:style>
  <w:style w:type="paragraph" w:customStyle="1" w:styleId="rtejustify">
    <w:name w:val="rtejustify"/>
    <w:basedOn w:val="a"/>
    <w:rsid w:val="009773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mk@admugan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nadzor.ru/skv/%D0%9F%D0%9F%D0%A0%D0%A4%20438%20%D0%BF%D1%80%D0%BE%D0%B2%D0%B5%D1%80%D0%BA%D0%B8%20%D0%9C%D0%A1%D0%9F.pdf" TargetMode="External"/><Relationship Id="rId5" Type="http://schemas.openxmlformats.org/officeDocument/2006/relationships/hyperlink" Target="http://www.gosnadzor.ru/skv/%D0%9F%D0%9F%D0%A0%D0%A4%20557%20%D0%B8%D0%B7%D0%BC%D0%B5%D0%BD%D0%B5%D0%BD%D0%B8%D1%8F.pdf" TargetMode="External"/><Relationship Id="rId4" Type="http://schemas.openxmlformats.org/officeDocument/2006/relationships/hyperlink" Target="http://www.gosnadzor.ru/skv/%D0%9F%D0%9F%D0%A0%D0%A4%20438%20%D0%BF%D1%80%D0%BE%D0%B2%D0%B5%D1%80%D0%BA%D0%B8%20%D0%9C%D0%A1%D0%9F.pdf"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2730</Words>
  <Characters>15561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Glava1</dc:creator>
  <cp:keywords/>
  <dc:description/>
  <cp:lastModifiedBy>Glava1</cp:lastModifiedBy>
  <cp:revision>1</cp:revision>
  <dcterms:created xsi:type="dcterms:W3CDTF">2020-10-13T10:32:00Z</dcterms:created>
  <dcterms:modified xsi:type="dcterms:W3CDTF">2020-10-13T10:32:00Z</dcterms:modified>
</cp:coreProperties>
</file>