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9D3A7A" w:rsidRPr="00056F0F" w:rsidTr="00984D5C">
        <w:tc>
          <w:tcPr>
            <w:tcW w:w="5637" w:type="dxa"/>
          </w:tcPr>
          <w:p w:rsidR="009D3A7A" w:rsidRPr="009D3A7A" w:rsidRDefault="009D3A7A" w:rsidP="009D3A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7D12C7" w:rsidRDefault="009D3A7A" w:rsidP="004336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56F0F">
              <w:rPr>
                <w:sz w:val="24"/>
                <w:szCs w:val="24"/>
              </w:rPr>
              <w:t xml:space="preserve">Приложение к письму </w:t>
            </w:r>
          </w:p>
          <w:p w:rsidR="009D3A7A" w:rsidRPr="00056F0F" w:rsidRDefault="00433617" w:rsidP="004336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 № ____</w:t>
            </w:r>
            <w:r w:rsidR="009D3A7A" w:rsidRPr="00056F0F">
              <w:rPr>
                <w:sz w:val="24"/>
                <w:szCs w:val="24"/>
              </w:rPr>
              <w:t>__</w:t>
            </w:r>
          </w:p>
        </w:tc>
      </w:tr>
    </w:tbl>
    <w:p w:rsidR="00491E3F" w:rsidRPr="00056F0F" w:rsidRDefault="00491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6C94" w:rsidRPr="00056F0F" w:rsidRDefault="000F6C94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91E3F" w:rsidRPr="00056F0F" w:rsidRDefault="00491E3F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О ходе исполнения </w:t>
      </w:r>
      <w:r w:rsidR="00FB22D0" w:rsidRPr="00056F0F">
        <w:rPr>
          <w:rFonts w:ascii="Times New Roman" w:hAnsi="Times New Roman"/>
          <w:sz w:val="28"/>
          <w:szCs w:val="28"/>
        </w:rPr>
        <w:t>муниципальной программы города Нефтеюганска «Развитие физической культуры и спорта в городе</w:t>
      </w:r>
      <w:r w:rsidR="006444D0">
        <w:rPr>
          <w:rFonts w:ascii="Times New Roman" w:hAnsi="Times New Roman"/>
          <w:sz w:val="28"/>
          <w:szCs w:val="28"/>
        </w:rPr>
        <w:t xml:space="preserve"> Нефтеюганске» за первое полугодие</w:t>
      </w:r>
      <w:r w:rsidR="000F3E55">
        <w:rPr>
          <w:rFonts w:ascii="Times New Roman" w:hAnsi="Times New Roman"/>
          <w:sz w:val="28"/>
          <w:szCs w:val="28"/>
        </w:rPr>
        <w:t xml:space="preserve"> 2020</w:t>
      </w:r>
      <w:r w:rsidRPr="00056F0F">
        <w:rPr>
          <w:rFonts w:ascii="Times New Roman" w:hAnsi="Times New Roman"/>
          <w:sz w:val="28"/>
          <w:szCs w:val="28"/>
        </w:rPr>
        <w:t xml:space="preserve"> года</w:t>
      </w:r>
    </w:p>
    <w:p w:rsidR="00491E3F" w:rsidRPr="00056F0F" w:rsidRDefault="00491E3F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91E3F" w:rsidRPr="00056F0F" w:rsidRDefault="00FB22D0" w:rsidP="00FB2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Муниципальная программа города Нефтеюганска «Развитие физической культуры и спорта в городе Нефтеюганске» (далее–муниципальная программа)</w:t>
      </w:r>
      <w:r w:rsidR="00491E3F" w:rsidRPr="00056F0F">
        <w:rPr>
          <w:rFonts w:ascii="Times New Roman" w:hAnsi="Times New Roman"/>
          <w:sz w:val="28"/>
          <w:szCs w:val="28"/>
        </w:rPr>
        <w:t>, утверждена постановлением админис</w:t>
      </w:r>
      <w:r w:rsidRPr="00056F0F">
        <w:rPr>
          <w:rFonts w:ascii="Times New Roman" w:hAnsi="Times New Roman"/>
          <w:sz w:val="28"/>
          <w:szCs w:val="28"/>
        </w:rPr>
        <w:t>трации города Нефтеюганска от 15</w:t>
      </w:r>
      <w:r w:rsidR="00491E3F" w:rsidRPr="00056F0F">
        <w:rPr>
          <w:rFonts w:ascii="Times New Roman" w:hAnsi="Times New Roman"/>
          <w:sz w:val="28"/>
          <w:szCs w:val="28"/>
        </w:rPr>
        <w:t>.</w:t>
      </w:r>
      <w:r w:rsidRPr="00056F0F">
        <w:rPr>
          <w:rFonts w:ascii="Times New Roman" w:hAnsi="Times New Roman"/>
          <w:sz w:val="28"/>
          <w:szCs w:val="28"/>
        </w:rPr>
        <w:t>11.2</w:t>
      </w:r>
      <w:r w:rsidR="006444D0">
        <w:rPr>
          <w:rFonts w:ascii="Times New Roman" w:hAnsi="Times New Roman"/>
          <w:sz w:val="28"/>
          <w:szCs w:val="28"/>
        </w:rPr>
        <w:t>018 № 600-п (с изменениями на 15.05.2020 № 73</w:t>
      </w:r>
      <w:r w:rsidR="000F3E55">
        <w:rPr>
          <w:rFonts w:ascii="Times New Roman" w:hAnsi="Times New Roman"/>
          <w:sz w:val="28"/>
          <w:szCs w:val="28"/>
        </w:rPr>
        <w:t>7</w:t>
      </w:r>
      <w:r w:rsidR="00491E3F" w:rsidRPr="00056F0F">
        <w:rPr>
          <w:rFonts w:ascii="Times New Roman" w:hAnsi="Times New Roman"/>
          <w:sz w:val="28"/>
          <w:szCs w:val="28"/>
        </w:rPr>
        <w:t>-п).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ab/>
        <w:t>Общий объ</w:t>
      </w:r>
      <w:r w:rsidR="000F3E55">
        <w:rPr>
          <w:rFonts w:ascii="Times New Roman" w:eastAsia="Arial Unicode MS" w:hAnsi="Times New Roman"/>
          <w:bCs/>
          <w:kern w:val="24"/>
          <w:sz w:val="28"/>
          <w:szCs w:val="28"/>
        </w:rPr>
        <w:t>ём финансирования программы 2020</w:t>
      </w: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 год – </w:t>
      </w:r>
      <w:r w:rsidR="000F3E55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1 </w:t>
      </w:r>
      <w:r w:rsidR="000F3E55">
        <w:rPr>
          <w:rFonts w:ascii="Times New Roman" w:hAnsi="Times New Roman"/>
          <w:sz w:val="28"/>
          <w:szCs w:val="28"/>
        </w:rPr>
        <w:t>393 </w:t>
      </w:r>
      <w:r w:rsidR="006444D0">
        <w:rPr>
          <w:rFonts w:ascii="Times New Roman" w:hAnsi="Times New Roman"/>
          <w:sz w:val="28"/>
          <w:szCs w:val="28"/>
        </w:rPr>
        <w:t>459</w:t>
      </w:r>
      <w:r w:rsidR="000F3E55">
        <w:rPr>
          <w:rFonts w:ascii="Times New Roman" w:hAnsi="Times New Roman"/>
          <w:sz w:val="28"/>
          <w:szCs w:val="28"/>
        </w:rPr>
        <w:t>,</w:t>
      </w:r>
      <w:r w:rsidR="006444D0">
        <w:rPr>
          <w:rFonts w:ascii="Times New Roman" w:hAnsi="Times New Roman"/>
          <w:sz w:val="28"/>
          <w:szCs w:val="28"/>
        </w:rPr>
        <w:t>370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bCs/>
          <w:kern w:val="24"/>
          <w:sz w:val="28"/>
          <w:szCs w:val="28"/>
        </w:rPr>
        <w:t>тыс. рублей, в том числе: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Бюджет автономного округа – </w:t>
      </w:r>
      <w:r w:rsidR="008A3DEB">
        <w:rPr>
          <w:rFonts w:ascii="Times New Roman" w:hAnsi="Times New Roman"/>
          <w:sz w:val="28"/>
          <w:szCs w:val="28"/>
        </w:rPr>
        <w:t>426 8</w:t>
      </w:r>
      <w:r w:rsidR="000F3E55">
        <w:rPr>
          <w:rFonts w:ascii="Times New Roman" w:hAnsi="Times New Roman"/>
          <w:sz w:val="28"/>
          <w:szCs w:val="28"/>
        </w:rPr>
        <w:t>36,202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Муниципальный бюджет – </w:t>
      </w:r>
      <w:r w:rsidR="008A3DEB">
        <w:rPr>
          <w:rFonts w:ascii="Times New Roman" w:hAnsi="Times New Roman"/>
          <w:sz w:val="28"/>
          <w:szCs w:val="28"/>
        </w:rPr>
        <w:t>865 191,765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 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Приносящая доход деятельность – </w:t>
      </w:r>
      <w:r w:rsidR="000F3E55">
        <w:rPr>
          <w:rFonts w:ascii="Times New Roman" w:hAnsi="Times New Roman"/>
          <w:sz w:val="28"/>
          <w:szCs w:val="28"/>
        </w:rPr>
        <w:t>101 431,403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 тыс. рублей</w:t>
      </w:r>
    </w:p>
    <w:p w:rsidR="00491E3F" w:rsidRPr="008A3DEB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программных меропри</w:t>
      </w:r>
      <w:r w:rsidR="000F3E55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ятий к плановым показателям 2020</w:t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E5140A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2</w:t>
      </w:r>
      <w:r w:rsidR="00E5140A">
        <w:rPr>
          <w:rFonts w:ascii="Times New Roman" w:eastAsia="+mn-ea" w:hAnsi="Times New Roman"/>
          <w:kern w:val="24"/>
          <w:sz w:val="28"/>
          <w:szCs w:val="28"/>
          <w:u w:val="single"/>
        </w:rPr>
        <w:t>2</w:t>
      </w:r>
      <w:r w:rsidR="00E5140A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</w:t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%</w:t>
      </w:r>
      <w:r w:rsidR="000F3E55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, по итогам </w:t>
      </w:r>
      <w:r w:rsidR="008A3DEB" w:rsidRPr="00E5140A">
        <w:rPr>
          <w:rFonts w:ascii="Times New Roman" w:hAnsi="Times New Roman"/>
          <w:sz w:val="28"/>
          <w:szCs w:val="28"/>
          <w:u w:val="single"/>
        </w:rPr>
        <w:t xml:space="preserve">первого полугодия </w:t>
      </w:r>
      <w:r w:rsidR="000F3E55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2020</w:t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</w:t>
      </w:r>
      <w:r w:rsidR="002F0C14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8</w:t>
      </w:r>
      <w:r w:rsidR="00E5140A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5</w:t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По подпрограмме </w:t>
      </w:r>
      <w:r w:rsidR="00FB22D0" w:rsidRPr="00056F0F">
        <w:rPr>
          <w:rFonts w:ascii="Times New Roman" w:hAnsi="Times New Roman"/>
          <w:b/>
          <w:sz w:val="28"/>
          <w:szCs w:val="28"/>
        </w:rPr>
        <w:t xml:space="preserve">1. Развитие системы массовой физической культуры, подготовки спортивного резерва и спорта высших достижений </w:t>
      </w:r>
      <w:r w:rsidR="000F3E55">
        <w:rPr>
          <w:rFonts w:ascii="Times New Roman" w:hAnsi="Times New Roman"/>
          <w:sz w:val="28"/>
          <w:szCs w:val="28"/>
        </w:rPr>
        <w:t>на 2020</w:t>
      </w:r>
      <w:r w:rsidRPr="00056F0F">
        <w:rPr>
          <w:rFonts w:ascii="Times New Roman" w:hAnsi="Times New Roman"/>
          <w:sz w:val="28"/>
          <w:szCs w:val="28"/>
        </w:rPr>
        <w:t xml:space="preserve"> год запланированы расходы в общей сумме </w:t>
      </w:r>
      <w:r w:rsidR="008A3DEB">
        <w:rPr>
          <w:rFonts w:ascii="Times New Roman" w:hAnsi="Times New Roman"/>
          <w:sz w:val="28"/>
          <w:szCs w:val="28"/>
        </w:rPr>
        <w:t>679 338,357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бюджет автономного округа в сумме </w:t>
      </w:r>
      <w:r w:rsidR="00F303C4">
        <w:rPr>
          <w:rFonts w:ascii="Times New Roman" w:hAnsi="Times New Roman"/>
          <w:sz w:val="28"/>
          <w:szCs w:val="28"/>
        </w:rPr>
        <w:t>6 336,202</w:t>
      </w:r>
      <w:r w:rsidRPr="00056F0F">
        <w:rPr>
          <w:rFonts w:ascii="Times New Roman" w:hAnsi="Times New Roman"/>
          <w:sz w:val="28"/>
          <w:szCs w:val="28"/>
        </w:rPr>
        <w:t xml:space="preserve"> тыс. рублей,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местный бюджет в сумме </w:t>
      </w:r>
      <w:r w:rsidR="008A3DEB">
        <w:rPr>
          <w:rFonts w:ascii="Times New Roman" w:hAnsi="Times New Roman"/>
          <w:sz w:val="28"/>
          <w:szCs w:val="28"/>
        </w:rPr>
        <w:t>571 570,752</w:t>
      </w:r>
      <w:r w:rsidRPr="00056F0F">
        <w:rPr>
          <w:rFonts w:ascii="Times New Roman" w:hAnsi="Times New Roman"/>
          <w:sz w:val="28"/>
          <w:szCs w:val="28"/>
        </w:rPr>
        <w:t xml:space="preserve"> тыс. рублей,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приносящая доход деятельность в сумме </w:t>
      </w:r>
      <w:r w:rsidR="00F303C4">
        <w:rPr>
          <w:rFonts w:ascii="Times New Roman" w:hAnsi="Times New Roman"/>
          <w:sz w:val="28"/>
          <w:szCs w:val="28"/>
        </w:rPr>
        <w:t>101 431,403</w:t>
      </w:r>
      <w:r w:rsidR="00F303C4" w:rsidRPr="00056F0F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>тыс. рублей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8C5EFB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- по основному мероприятию 1.1. </w:t>
      </w:r>
      <w:r w:rsidR="00406990" w:rsidRPr="00056F0F">
        <w:rPr>
          <w:rFonts w:ascii="Times New Roman" w:hAnsi="Times New Roman"/>
          <w:b/>
          <w:sz w:val="28"/>
          <w:szCs w:val="28"/>
        </w:rPr>
        <w:t>«Создание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спорта»</w:t>
      </w:r>
      <w:r w:rsidRPr="00056F0F">
        <w:rPr>
          <w:rFonts w:ascii="Times New Roman" w:hAnsi="Times New Roman"/>
          <w:sz w:val="28"/>
          <w:szCs w:val="28"/>
        </w:rPr>
        <w:t xml:space="preserve"> запланированы за счет средств местного бюджета расходы на участие и проведение спортивных мероприятий</w:t>
      </w:r>
      <w:r w:rsidR="008C5EFB" w:rsidRPr="00056F0F">
        <w:rPr>
          <w:rFonts w:ascii="Times New Roman" w:hAnsi="Times New Roman"/>
          <w:sz w:val="28"/>
          <w:szCs w:val="28"/>
        </w:rPr>
        <w:t>:</w:t>
      </w:r>
    </w:p>
    <w:p w:rsidR="00CC5DA5" w:rsidRPr="00056F0F" w:rsidRDefault="00CC5DA5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запланированы расходы в </w:t>
      </w:r>
      <w:r w:rsidR="00D261D8">
        <w:rPr>
          <w:rFonts w:ascii="Times New Roman" w:hAnsi="Times New Roman"/>
          <w:sz w:val="28"/>
          <w:szCs w:val="28"/>
        </w:rPr>
        <w:t>сумм</w:t>
      </w:r>
      <w:r w:rsidR="008A3DEB">
        <w:rPr>
          <w:rFonts w:ascii="Times New Roman" w:hAnsi="Times New Roman"/>
          <w:sz w:val="28"/>
          <w:szCs w:val="28"/>
        </w:rPr>
        <w:t xml:space="preserve">е - местный бюджет в сумме 5 815,132 </w:t>
      </w:r>
      <w:r w:rsidRPr="00056F0F">
        <w:rPr>
          <w:rFonts w:ascii="Times New Roman" w:hAnsi="Times New Roman"/>
          <w:sz w:val="28"/>
          <w:szCs w:val="28"/>
        </w:rPr>
        <w:t>тыс. рублей</w:t>
      </w:r>
    </w:p>
    <w:p w:rsidR="00491E3F" w:rsidRPr="00056F0F" w:rsidRDefault="00CC5DA5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</w:t>
      </w:r>
      <w:r w:rsidR="00491E3F" w:rsidRPr="00056F0F">
        <w:rPr>
          <w:rFonts w:ascii="Times New Roman" w:hAnsi="Times New Roman"/>
          <w:sz w:val="28"/>
          <w:szCs w:val="28"/>
        </w:rPr>
        <w:t>о соисполнителю – департаменту образования и молодежной политики администрации города Нефте</w:t>
      </w:r>
      <w:r w:rsidR="00406990" w:rsidRPr="00056F0F">
        <w:rPr>
          <w:rFonts w:ascii="Times New Roman" w:hAnsi="Times New Roman"/>
          <w:sz w:val="28"/>
          <w:szCs w:val="28"/>
        </w:rPr>
        <w:t xml:space="preserve">юганска </w:t>
      </w:r>
      <w:r w:rsidRPr="00056F0F">
        <w:rPr>
          <w:rFonts w:ascii="Times New Roman" w:hAnsi="Times New Roman"/>
          <w:sz w:val="28"/>
          <w:szCs w:val="28"/>
        </w:rPr>
        <w:t>в сумме 299,170 тыс. рублей.</w:t>
      </w:r>
    </w:p>
    <w:p w:rsidR="00CC5DA5" w:rsidRPr="00056F0F" w:rsidRDefault="00D261D8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сумме </w:t>
      </w:r>
      <w:r w:rsidR="008A3DEB">
        <w:rPr>
          <w:rFonts w:ascii="Times New Roman" w:hAnsi="Times New Roman"/>
          <w:sz w:val="28"/>
          <w:szCs w:val="28"/>
        </w:rPr>
        <w:t>6 114,302</w:t>
      </w:r>
      <w:r w:rsidR="008A3DEB" w:rsidRPr="00056F0F">
        <w:rPr>
          <w:rFonts w:ascii="Times New Roman" w:hAnsi="Times New Roman"/>
          <w:sz w:val="28"/>
          <w:szCs w:val="28"/>
        </w:rPr>
        <w:t xml:space="preserve"> </w:t>
      </w:r>
      <w:r w:rsidR="00CC5DA5" w:rsidRPr="00056F0F">
        <w:rPr>
          <w:rFonts w:ascii="Times New Roman" w:hAnsi="Times New Roman"/>
          <w:sz w:val="28"/>
          <w:szCs w:val="28"/>
        </w:rPr>
        <w:t>тыс. рублей.</w:t>
      </w:r>
    </w:p>
    <w:p w:rsidR="00491E3F" w:rsidRPr="00E5140A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D261D8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ятия к плановым показателям 2020</w:t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E5140A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16</w:t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%</w:t>
      </w:r>
      <w:r w:rsidR="00406990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,</w:t>
      </w:r>
      <w:r w:rsidR="00D261D8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</w:t>
      </w:r>
      <w:r w:rsidR="008A3DEB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итогам </w:t>
      </w:r>
      <w:r w:rsidR="008A3DEB" w:rsidRPr="00E5140A">
        <w:rPr>
          <w:rFonts w:ascii="Times New Roman" w:hAnsi="Times New Roman"/>
          <w:sz w:val="28"/>
          <w:szCs w:val="28"/>
          <w:u w:val="single"/>
        </w:rPr>
        <w:t xml:space="preserve">первого полугодия </w:t>
      </w:r>
      <w:r w:rsidR="00D261D8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2020</w:t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</w:t>
      </w:r>
      <w:r w:rsidR="00E5140A"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23</w:t>
      </w:r>
      <w:r w:rsidRPr="00E5140A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CF7886" w:rsidRDefault="00CF7886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40A">
        <w:rPr>
          <w:rFonts w:ascii="Times New Roman" w:hAnsi="Times New Roman"/>
          <w:sz w:val="28"/>
          <w:szCs w:val="28"/>
        </w:rPr>
        <w:t>Экономия образовалась в связи с противоэпидемиологическим</w:t>
      </w:r>
      <w:r w:rsidRPr="00CF7886">
        <w:rPr>
          <w:rFonts w:ascii="Times New Roman" w:hAnsi="Times New Roman"/>
          <w:sz w:val="28"/>
          <w:szCs w:val="28"/>
        </w:rPr>
        <w:t xml:space="preserve"> режимом в городе (введением карантина на длительный </w:t>
      </w:r>
      <w:r w:rsidR="00BC33CE">
        <w:rPr>
          <w:rFonts w:ascii="Times New Roman" w:hAnsi="Times New Roman"/>
          <w:sz w:val="28"/>
          <w:szCs w:val="28"/>
        </w:rPr>
        <w:t>срок), а также введение режима повышенной готовности в Ханты-Мансийском округе-Югре, в целях снижения риска завоза</w:t>
      </w:r>
      <w:r w:rsidR="00BC33CE" w:rsidRPr="00BC33CE">
        <w:rPr>
          <w:rFonts w:ascii="Times New Roman" w:hAnsi="Times New Roman"/>
          <w:sz w:val="28"/>
          <w:szCs w:val="28"/>
        </w:rPr>
        <w:t xml:space="preserve"> и распространения новой коронавирусной</w:t>
      </w:r>
      <w:r w:rsidR="00BC33CE">
        <w:rPr>
          <w:rFonts w:ascii="Times New Roman" w:hAnsi="Times New Roman"/>
          <w:sz w:val="28"/>
          <w:szCs w:val="28"/>
        </w:rPr>
        <w:t xml:space="preserve"> инфекции, вызванной COVID-2019. Деятельность</w:t>
      </w:r>
      <w:r w:rsidR="00BC33CE" w:rsidRPr="00BC33CE">
        <w:rPr>
          <w:rFonts w:ascii="Times New Roman" w:hAnsi="Times New Roman"/>
          <w:sz w:val="28"/>
          <w:szCs w:val="28"/>
        </w:rPr>
        <w:t xml:space="preserve"> подведомственных </w:t>
      </w:r>
      <w:r w:rsidR="00BC33CE">
        <w:rPr>
          <w:rFonts w:ascii="Times New Roman" w:hAnsi="Times New Roman"/>
          <w:sz w:val="28"/>
          <w:szCs w:val="28"/>
        </w:rPr>
        <w:t>учреждений приостановлена</w:t>
      </w:r>
      <w:r w:rsidR="00BC33CE" w:rsidRPr="00BC33CE">
        <w:rPr>
          <w:rFonts w:ascii="Times New Roman" w:hAnsi="Times New Roman"/>
          <w:sz w:val="28"/>
          <w:szCs w:val="28"/>
        </w:rPr>
        <w:t>.</w:t>
      </w:r>
      <w:r w:rsidR="00BC33CE">
        <w:rPr>
          <w:rFonts w:ascii="Times New Roman" w:hAnsi="Times New Roman"/>
          <w:sz w:val="28"/>
          <w:szCs w:val="28"/>
        </w:rPr>
        <w:t xml:space="preserve"> Отменены и перенесены на 3-4</w:t>
      </w:r>
      <w:r w:rsidRPr="00CF7886">
        <w:rPr>
          <w:rFonts w:ascii="Times New Roman" w:hAnsi="Times New Roman"/>
          <w:sz w:val="28"/>
          <w:szCs w:val="28"/>
        </w:rPr>
        <w:t xml:space="preserve"> квартал массовые спортивные и физкультурно-оздоровительные мероприятия, запланированные на 1</w:t>
      </w:r>
      <w:r w:rsidR="00BC33CE">
        <w:rPr>
          <w:rFonts w:ascii="Times New Roman" w:hAnsi="Times New Roman"/>
          <w:sz w:val="28"/>
          <w:szCs w:val="28"/>
        </w:rPr>
        <w:t>-2</w:t>
      </w:r>
      <w:r w:rsidRPr="00CF7886">
        <w:rPr>
          <w:rFonts w:ascii="Times New Roman" w:hAnsi="Times New Roman"/>
          <w:sz w:val="28"/>
          <w:szCs w:val="28"/>
        </w:rPr>
        <w:t xml:space="preserve"> квартал 2020 года.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lastRenderedPageBreak/>
        <w:t>За отчетный период количество лиц систематически занимающихся физической кул</w:t>
      </w:r>
      <w:r w:rsidR="00406990" w:rsidRPr="00056F0F">
        <w:rPr>
          <w:rFonts w:ascii="Times New Roman" w:hAnsi="Times New Roman"/>
          <w:sz w:val="28"/>
          <w:szCs w:val="28"/>
        </w:rPr>
        <w:t>ьтурой и спортом составило 28 968</w:t>
      </w:r>
      <w:r w:rsidR="00FA6DAE">
        <w:rPr>
          <w:rFonts w:ascii="Times New Roman" w:hAnsi="Times New Roman"/>
          <w:sz w:val="28"/>
          <w:szCs w:val="28"/>
          <w:lang w:eastAsia="en-US" w:bidi="en-US"/>
        </w:rPr>
        <w:t xml:space="preserve"> человек, или 26</w:t>
      </w:r>
      <w:r w:rsidR="00FA6DAE">
        <w:rPr>
          <w:rFonts w:ascii="Times New Roman" w:hAnsi="Times New Roman"/>
          <w:sz w:val="28"/>
          <w:szCs w:val="28"/>
        </w:rPr>
        <w:t>,3</w:t>
      </w:r>
      <w:r w:rsidRPr="00056F0F">
        <w:rPr>
          <w:rFonts w:ascii="Times New Roman" w:hAnsi="Times New Roman"/>
          <w:sz w:val="28"/>
          <w:szCs w:val="28"/>
        </w:rPr>
        <w:t>%.</w:t>
      </w:r>
    </w:p>
    <w:p w:rsidR="00491E3F" w:rsidRPr="00056F0F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pacing w:val="2"/>
          <w:sz w:val="28"/>
          <w:szCs w:val="28"/>
        </w:rPr>
        <w:t>Обеспеченность плаватель</w:t>
      </w:r>
      <w:r w:rsidR="00406990" w:rsidRPr="00056F0F">
        <w:rPr>
          <w:rFonts w:ascii="Times New Roman" w:hAnsi="Times New Roman"/>
          <w:spacing w:val="2"/>
          <w:sz w:val="28"/>
          <w:szCs w:val="28"/>
        </w:rPr>
        <w:t>ными бассейнами составляет 22,3</w:t>
      </w:r>
      <w:r w:rsidRPr="00056F0F">
        <w:rPr>
          <w:rFonts w:ascii="Times New Roman" w:hAnsi="Times New Roman"/>
          <w:spacing w:val="2"/>
          <w:sz w:val="28"/>
          <w:szCs w:val="28"/>
        </w:rPr>
        <w:t xml:space="preserve">% </w:t>
      </w:r>
      <w:r w:rsidRPr="00056F0F">
        <w:rPr>
          <w:rFonts w:ascii="Times New Roman" w:hAnsi="Times New Roman"/>
          <w:sz w:val="28"/>
          <w:szCs w:val="28"/>
        </w:rPr>
        <w:t>от норматива, установленного в Российской Федерации.</w:t>
      </w:r>
    </w:p>
    <w:p w:rsidR="00491E3F" w:rsidRPr="0074053F" w:rsidRDefault="00984D5C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D5C">
        <w:rPr>
          <w:rFonts w:ascii="Times New Roman" w:hAnsi="Times New Roman"/>
          <w:sz w:val="28"/>
          <w:szCs w:val="28"/>
        </w:rPr>
        <w:t>Всего в городе функционирует 133</w:t>
      </w:r>
      <w:r w:rsidR="003F0F5B" w:rsidRPr="00984D5C">
        <w:rPr>
          <w:rFonts w:ascii="Times New Roman" w:hAnsi="Times New Roman"/>
          <w:sz w:val="28"/>
          <w:szCs w:val="28"/>
        </w:rPr>
        <w:t xml:space="preserve"> спортивное сооружение</w:t>
      </w:r>
      <w:r w:rsidR="00491E3F" w:rsidRPr="00984D5C">
        <w:rPr>
          <w:rFonts w:ascii="Times New Roman" w:hAnsi="Times New Roman"/>
          <w:sz w:val="28"/>
          <w:szCs w:val="28"/>
        </w:rPr>
        <w:t xml:space="preserve"> различной ведомственной принадлежности с единовремен</w:t>
      </w:r>
      <w:r w:rsidRPr="00984D5C">
        <w:rPr>
          <w:rFonts w:ascii="Times New Roman" w:hAnsi="Times New Roman"/>
          <w:sz w:val="28"/>
          <w:szCs w:val="28"/>
        </w:rPr>
        <w:t>ной пропускной способностью 3827</w:t>
      </w:r>
      <w:r>
        <w:rPr>
          <w:rFonts w:ascii="Times New Roman" w:hAnsi="Times New Roman"/>
          <w:sz w:val="28"/>
          <w:szCs w:val="28"/>
        </w:rPr>
        <w:t xml:space="preserve"> человек, что составляет 25,8</w:t>
      </w:r>
      <w:r w:rsidR="00491E3F" w:rsidRPr="00984D5C">
        <w:rPr>
          <w:rFonts w:ascii="Times New Roman" w:hAnsi="Times New Roman"/>
          <w:sz w:val="28"/>
          <w:szCs w:val="28"/>
        </w:rPr>
        <w:t xml:space="preserve"> % от норматива, установленного в </w:t>
      </w:r>
      <w:r w:rsidR="00491E3F" w:rsidRPr="0074053F">
        <w:rPr>
          <w:rFonts w:ascii="Times New Roman" w:hAnsi="Times New Roman"/>
          <w:sz w:val="28"/>
          <w:szCs w:val="28"/>
        </w:rPr>
        <w:t>Российской Федерации.</w:t>
      </w:r>
    </w:p>
    <w:p w:rsidR="00491E3F" w:rsidRPr="0074053F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053F">
        <w:rPr>
          <w:rFonts w:ascii="Times New Roman" w:hAnsi="Times New Roman"/>
          <w:sz w:val="28"/>
          <w:szCs w:val="28"/>
        </w:rPr>
        <w:t>На территории го</w:t>
      </w:r>
      <w:r w:rsidR="003F0F5B" w:rsidRPr="0074053F">
        <w:rPr>
          <w:rFonts w:ascii="Times New Roman" w:hAnsi="Times New Roman"/>
          <w:sz w:val="28"/>
          <w:szCs w:val="28"/>
        </w:rPr>
        <w:t>рода</w:t>
      </w:r>
      <w:r w:rsidR="0074053F" w:rsidRPr="0074053F">
        <w:rPr>
          <w:rFonts w:ascii="Times New Roman" w:hAnsi="Times New Roman"/>
          <w:sz w:val="28"/>
          <w:szCs w:val="28"/>
        </w:rPr>
        <w:t xml:space="preserve"> Нефтеюганска расположены 65</w:t>
      </w:r>
      <w:r w:rsidRPr="0074053F">
        <w:rPr>
          <w:rFonts w:ascii="Times New Roman" w:hAnsi="Times New Roman"/>
          <w:sz w:val="28"/>
          <w:szCs w:val="28"/>
        </w:rPr>
        <w:t xml:space="preserve"> плоскостных спортивных сооружения, общей площадью </w:t>
      </w:r>
      <w:r w:rsidR="0074053F" w:rsidRPr="0074053F">
        <w:rPr>
          <w:rFonts w:ascii="Times New Roman" w:hAnsi="Times New Roman"/>
          <w:sz w:val="28"/>
          <w:szCs w:val="28"/>
        </w:rPr>
        <w:t>60 710</w:t>
      </w:r>
      <w:r w:rsidR="003F0F5B" w:rsidRPr="0074053F">
        <w:rPr>
          <w:rFonts w:ascii="Times New Roman" w:hAnsi="Times New Roman"/>
          <w:sz w:val="28"/>
          <w:szCs w:val="28"/>
        </w:rPr>
        <w:t>,0 м</w:t>
      </w:r>
      <w:r w:rsidR="003F0F5B" w:rsidRPr="0074053F">
        <w:rPr>
          <w:rFonts w:ascii="Times New Roman" w:hAnsi="Times New Roman"/>
          <w:sz w:val="28"/>
          <w:szCs w:val="28"/>
          <w:vertAlign w:val="superscript"/>
        </w:rPr>
        <w:t>2</w:t>
      </w:r>
      <w:r w:rsidR="0074053F">
        <w:rPr>
          <w:rFonts w:ascii="Times New Roman" w:hAnsi="Times New Roman"/>
          <w:sz w:val="28"/>
          <w:szCs w:val="28"/>
        </w:rPr>
        <w:t>, что составляет 25,3</w:t>
      </w:r>
      <w:r w:rsidRPr="0074053F">
        <w:rPr>
          <w:rFonts w:ascii="Times New Roman" w:hAnsi="Times New Roman"/>
          <w:sz w:val="28"/>
          <w:szCs w:val="28"/>
        </w:rPr>
        <w:t>% от норматива, установленного в Российской Федерации.</w:t>
      </w:r>
    </w:p>
    <w:p w:rsidR="00491E3F" w:rsidRPr="00056F0F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На большинстве спортивных площадок, пригодных для занятий физической культурой, занятия проходят не организованно, в основном в вечернее время летнего периода. </w:t>
      </w:r>
      <w:r w:rsidR="003F0F5B" w:rsidRPr="00056F0F">
        <w:rPr>
          <w:rFonts w:ascii="Times New Roman" w:hAnsi="Times New Roman"/>
          <w:sz w:val="28"/>
          <w:szCs w:val="28"/>
        </w:rPr>
        <w:t xml:space="preserve">Очень популярны среди населения такие виды спорта как мини-футбол, волейбол, баскетбол, легкая атлетика, занятия по общей физической подготовке, одно из разновидностей массовых занятий - </w:t>
      </w:r>
      <w:proofErr w:type="spellStart"/>
      <w:r w:rsidR="003F0F5B" w:rsidRPr="00056F0F">
        <w:rPr>
          <w:rFonts w:ascii="Times New Roman" w:hAnsi="Times New Roman"/>
          <w:sz w:val="28"/>
          <w:szCs w:val="28"/>
        </w:rPr>
        <w:t>StreetWorkout</w:t>
      </w:r>
      <w:proofErr w:type="spellEnd"/>
      <w:r w:rsidR="003F0F5B" w:rsidRPr="00056F0F">
        <w:rPr>
          <w:rFonts w:ascii="Times New Roman" w:hAnsi="Times New Roman"/>
          <w:sz w:val="28"/>
          <w:szCs w:val="28"/>
        </w:rPr>
        <w:t>.</w:t>
      </w:r>
    </w:p>
    <w:p w:rsidR="00491E3F" w:rsidRPr="00056F0F" w:rsidRDefault="00491E3F" w:rsidP="003F0F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Комитетом физической культуры и спорта совместно</w:t>
      </w:r>
      <w:r w:rsidRPr="00056F0F">
        <w:rPr>
          <w:rFonts w:ascii="Times New Roman" w:hAnsi="Times New Roman"/>
          <w:sz w:val="28"/>
          <w:szCs w:val="28"/>
          <w:shd w:val="clear" w:color="auto" w:fill="FFFFFF"/>
        </w:rPr>
        <w:t xml:space="preserve"> с муниципальным бюджетным учреждением центр физической культуры и спорта «Жемчужина Югры», организованна физкультурно-оздоровительная работа с населением города по месту жительства на спортивной площадке </w:t>
      </w:r>
      <w:r w:rsidRPr="00056F0F">
        <w:rPr>
          <w:rFonts w:ascii="Times New Roman" w:hAnsi="Times New Roman"/>
          <w:sz w:val="28"/>
          <w:szCs w:val="28"/>
        </w:rPr>
        <w:t>в 14 микрорайоне, около домов № 45, 48, 49, по видам спорта футбол</w:t>
      </w:r>
      <w:r w:rsidR="001B176A">
        <w:rPr>
          <w:rFonts w:ascii="Times New Roman" w:hAnsi="Times New Roman"/>
          <w:sz w:val="28"/>
          <w:szCs w:val="28"/>
        </w:rPr>
        <w:t xml:space="preserve"> (в зимнее время открытый каток)</w:t>
      </w:r>
      <w:r w:rsidRPr="00056F0F">
        <w:rPr>
          <w:rFonts w:ascii="Times New Roman" w:hAnsi="Times New Roman"/>
          <w:sz w:val="28"/>
          <w:szCs w:val="28"/>
        </w:rPr>
        <w:t>, волейбол, баскетбол, подвижные игры. Утверждено расписание работы площадки, закреплен инструктор по спорту, одной из основных задач которого является организация занятий по видам спорта.</w:t>
      </w:r>
      <w:r w:rsidR="003F0F5B" w:rsidRPr="00056F0F">
        <w:t xml:space="preserve"> </w:t>
      </w:r>
      <w:r w:rsidR="003F0F5B" w:rsidRPr="00056F0F">
        <w:rPr>
          <w:rFonts w:ascii="Times New Roman" w:hAnsi="Times New Roman"/>
          <w:sz w:val="28"/>
          <w:szCs w:val="28"/>
        </w:rPr>
        <w:t>Создана крытая игровая комната для посетителей спортивной площадки, с целью альтернативного варианта проведения досуга, воспитание нравственных и гражданско-патриотических функций. В игровой комнате представлена возможность поиграть в настольные игры, такие как шашки, шахматы, настольный футбол, нарды.</w:t>
      </w:r>
      <w:r w:rsidRPr="00056F0F">
        <w:rPr>
          <w:rFonts w:ascii="Times New Roman" w:hAnsi="Times New Roman"/>
          <w:sz w:val="28"/>
          <w:szCs w:val="28"/>
        </w:rPr>
        <w:t xml:space="preserve"> Все занятия доступны и проводятся на безвозмездной основе. В зимний период организован прокат коньков для массового катания жителей и гостей города.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1.2. «Организация отдыха и оздоровления детей»</w:t>
      </w:r>
      <w:r w:rsidRPr="00056F0F">
        <w:rPr>
          <w:rFonts w:ascii="Times New Roman" w:hAnsi="Times New Roman"/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Нефтеюганска заплани</w:t>
      </w:r>
      <w:r w:rsidR="00570555">
        <w:rPr>
          <w:rFonts w:ascii="Times New Roman" w:hAnsi="Times New Roman"/>
          <w:sz w:val="28"/>
          <w:szCs w:val="28"/>
        </w:rPr>
        <w:t>рованы расходы в сумме 2 823</w:t>
      </w:r>
      <w:r w:rsidR="003F0F5B" w:rsidRPr="00056F0F">
        <w:rPr>
          <w:rFonts w:ascii="Times New Roman" w:hAnsi="Times New Roman"/>
          <w:sz w:val="28"/>
          <w:szCs w:val="28"/>
        </w:rPr>
        <w:t>,460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за счет субсидии из бюджета автономного округа на оплату стоимости</w:t>
      </w:r>
      <w:r w:rsidR="00570555">
        <w:rPr>
          <w:rFonts w:ascii="Times New Roman" w:hAnsi="Times New Roman"/>
          <w:sz w:val="28"/>
          <w:szCs w:val="28"/>
        </w:rPr>
        <w:t xml:space="preserve"> питания детей в сумме 1 454,502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за счет ме</w:t>
      </w:r>
      <w:r w:rsidR="00570555">
        <w:rPr>
          <w:rFonts w:ascii="Times New Roman" w:hAnsi="Times New Roman"/>
          <w:sz w:val="28"/>
          <w:szCs w:val="28"/>
        </w:rPr>
        <w:t>стного бюджета в сумме 1 368,958</w:t>
      </w:r>
      <w:r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491E3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5140A">
        <w:rPr>
          <w:rFonts w:ascii="Times New Roman" w:hAnsi="Times New Roman"/>
          <w:sz w:val="28"/>
          <w:szCs w:val="28"/>
          <w:u w:val="single"/>
        </w:rPr>
        <w:t>Финанси</w:t>
      </w:r>
      <w:r w:rsidR="00570555" w:rsidRPr="00E5140A">
        <w:rPr>
          <w:rFonts w:ascii="Times New Roman" w:hAnsi="Times New Roman"/>
          <w:sz w:val="28"/>
          <w:szCs w:val="28"/>
          <w:u w:val="single"/>
        </w:rPr>
        <w:t xml:space="preserve">рование в 1 </w:t>
      </w:r>
      <w:r w:rsidR="00E5140A">
        <w:rPr>
          <w:rFonts w:ascii="Times New Roman" w:hAnsi="Times New Roman"/>
          <w:sz w:val="28"/>
          <w:szCs w:val="28"/>
          <w:u w:val="single"/>
        </w:rPr>
        <w:t>полугодии</w:t>
      </w:r>
      <w:r w:rsidR="00570555" w:rsidRPr="00E5140A">
        <w:rPr>
          <w:rFonts w:ascii="Times New Roman" w:hAnsi="Times New Roman"/>
          <w:sz w:val="28"/>
          <w:szCs w:val="28"/>
          <w:u w:val="single"/>
        </w:rPr>
        <w:t xml:space="preserve"> 2020</w:t>
      </w:r>
      <w:r w:rsidRPr="00E5140A">
        <w:rPr>
          <w:rFonts w:ascii="Times New Roman" w:hAnsi="Times New Roman"/>
          <w:sz w:val="28"/>
          <w:szCs w:val="28"/>
          <w:u w:val="single"/>
        </w:rPr>
        <w:t xml:space="preserve"> года не производилось.</w:t>
      </w:r>
      <w:r w:rsidRPr="00056F0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31998" w:rsidRPr="00056F0F" w:rsidRDefault="00F31998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886">
        <w:rPr>
          <w:rFonts w:ascii="Times New Roman" w:hAnsi="Times New Roman"/>
          <w:sz w:val="28"/>
          <w:szCs w:val="28"/>
        </w:rPr>
        <w:lastRenderedPageBreak/>
        <w:t>Экономия образовалась в связи</w:t>
      </w:r>
      <w:r w:rsidRPr="00F31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введением режима повышенной готовности в Ханты-Мансийском округе-Югре, в целях снижения риска завоза</w:t>
      </w:r>
      <w:r w:rsidRPr="00BC33CE">
        <w:rPr>
          <w:rFonts w:ascii="Times New Roman" w:hAnsi="Times New Roman"/>
          <w:sz w:val="28"/>
          <w:szCs w:val="28"/>
        </w:rPr>
        <w:t xml:space="preserve"> и распространения новой коронавирусной</w:t>
      </w:r>
      <w:r>
        <w:rPr>
          <w:rFonts w:ascii="Times New Roman" w:hAnsi="Times New Roman"/>
          <w:sz w:val="28"/>
          <w:szCs w:val="28"/>
        </w:rPr>
        <w:t xml:space="preserve"> инфекции, вызванной COVID-2019.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1.3. «</w:t>
      </w:r>
      <w:r w:rsidR="00635DCE" w:rsidRPr="00056F0F">
        <w:rPr>
          <w:rFonts w:ascii="Times New Roman" w:hAnsi="Times New Roman"/>
          <w:b/>
          <w:sz w:val="28"/>
          <w:szCs w:val="28"/>
        </w:rPr>
        <w:t>Подготовка спортивного резерва и спорта высших достижений</w:t>
      </w:r>
      <w:r w:rsidRPr="00056F0F">
        <w:rPr>
          <w:rFonts w:ascii="Times New Roman" w:hAnsi="Times New Roman"/>
          <w:b/>
          <w:sz w:val="28"/>
          <w:szCs w:val="28"/>
        </w:rPr>
        <w:t>»</w:t>
      </w:r>
      <w:r w:rsidRPr="00056F0F">
        <w:rPr>
          <w:rFonts w:ascii="Times New Roman" w:hAnsi="Times New Roman"/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Нефтеюганска запланиро</w:t>
      </w:r>
      <w:r w:rsidR="00F31998">
        <w:rPr>
          <w:rFonts w:ascii="Times New Roman" w:hAnsi="Times New Roman"/>
          <w:sz w:val="28"/>
          <w:szCs w:val="28"/>
        </w:rPr>
        <w:t>ваны расходы в сумме 670 400,59</w:t>
      </w:r>
      <w:r w:rsidR="00CC5DA5" w:rsidRPr="00056F0F">
        <w:rPr>
          <w:rFonts w:ascii="Times New Roman" w:hAnsi="Times New Roman"/>
          <w:sz w:val="28"/>
          <w:szCs w:val="28"/>
        </w:rPr>
        <w:t>5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бюджет авто</w:t>
      </w:r>
      <w:r w:rsidR="000E558D">
        <w:rPr>
          <w:rFonts w:ascii="Times New Roman" w:hAnsi="Times New Roman"/>
          <w:sz w:val="28"/>
          <w:szCs w:val="28"/>
        </w:rPr>
        <w:t>номного округа в сумме 4 881,7</w:t>
      </w:r>
      <w:r w:rsidR="00CC5DA5" w:rsidRPr="00056F0F">
        <w:rPr>
          <w:rFonts w:ascii="Times New Roman" w:hAnsi="Times New Roman"/>
          <w:sz w:val="28"/>
          <w:szCs w:val="28"/>
        </w:rPr>
        <w:t>00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ме</w:t>
      </w:r>
      <w:r w:rsidR="00635DCE" w:rsidRPr="00056F0F">
        <w:rPr>
          <w:rFonts w:ascii="Times New Roman" w:hAnsi="Times New Roman"/>
          <w:sz w:val="28"/>
          <w:szCs w:val="28"/>
        </w:rPr>
        <w:t>стный бюджет в</w:t>
      </w:r>
      <w:r w:rsidR="00F31998">
        <w:rPr>
          <w:rFonts w:ascii="Times New Roman" w:hAnsi="Times New Roman"/>
          <w:sz w:val="28"/>
          <w:szCs w:val="28"/>
        </w:rPr>
        <w:t xml:space="preserve"> сумме 564 087,492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приносящая доход</w:t>
      </w:r>
      <w:r w:rsidR="000E558D">
        <w:rPr>
          <w:rFonts w:ascii="Times New Roman" w:hAnsi="Times New Roman"/>
          <w:sz w:val="28"/>
          <w:szCs w:val="28"/>
        </w:rPr>
        <w:t xml:space="preserve"> деятельность в сумме 101 431,40</w:t>
      </w:r>
      <w:r w:rsidR="00635DCE" w:rsidRPr="00056F0F">
        <w:rPr>
          <w:rFonts w:ascii="Times New Roman" w:hAnsi="Times New Roman"/>
          <w:sz w:val="28"/>
          <w:szCs w:val="28"/>
        </w:rPr>
        <w:t>3</w:t>
      </w:r>
      <w:r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0E558D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ятия к плановым показателям 2020</w:t>
      </w:r>
      <w:r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E5140A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44</w:t>
      </w:r>
      <w:r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%</w:t>
      </w:r>
      <w:r w:rsidR="000E558D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, по итогам 1 </w:t>
      </w:r>
      <w:r w:rsidR="00E5140A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полугодия</w:t>
      </w:r>
      <w:r w:rsidR="000E558D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2020</w:t>
      </w:r>
      <w:r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</w:t>
      </w:r>
      <w:r w:rsidR="00EE630A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87</w:t>
      </w:r>
      <w:r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491E3F" w:rsidRPr="00056F0F" w:rsidRDefault="00CB0B7B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Оплата производилась по фактически предоставленным документам согласно договорных обязате</w:t>
      </w:r>
      <w:r w:rsidR="00CC56BF">
        <w:rPr>
          <w:rFonts w:ascii="Times New Roman" w:hAnsi="Times New Roman"/>
          <w:sz w:val="28"/>
          <w:szCs w:val="28"/>
        </w:rPr>
        <w:t>льств на основании выставленных</w:t>
      </w:r>
      <w:r w:rsidRPr="00056F0F">
        <w:rPr>
          <w:rFonts w:ascii="Times New Roman" w:hAnsi="Times New Roman"/>
          <w:sz w:val="28"/>
          <w:szCs w:val="28"/>
        </w:rPr>
        <w:t xml:space="preserve"> счетов-фактур и акта выполненных работ. В течении года денежные средства будут освоены в полном объёме. Также остаток образовался в </w:t>
      </w:r>
      <w:r w:rsidR="00491E3F" w:rsidRPr="00056F0F">
        <w:rPr>
          <w:rFonts w:ascii="Times New Roman" w:hAnsi="Times New Roman"/>
          <w:sz w:val="28"/>
          <w:szCs w:val="28"/>
        </w:rPr>
        <w:t xml:space="preserve">связи с противоэпидемиологическим режимом в городе (введением карантина на длительный </w:t>
      </w:r>
      <w:r w:rsidR="00F31998">
        <w:rPr>
          <w:rFonts w:ascii="Times New Roman" w:hAnsi="Times New Roman"/>
          <w:sz w:val="28"/>
          <w:szCs w:val="28"/>
        </w:rPr>
        <w:t>срок) отменены и перенесены на 3-4</w:t>
      </w:r>
      <w:r w:rsidR="00491E3F" w:rsidRPr="00056F0F">
        <w:rPr>
          <w:rFonts w:ascii="Times New Roman" w:hAnsi="Times New Roman"/>
          <w:sz w:val="28"/>
          <w:szCs w:val="28"/>
        </w:rPr>
        <w:t xml:space="preserve"> квартал массовые спортивные и физкультурно-оздоровительные мероприятия, з</w:t>
      </w:r>
      <w:r w:rsidR="00635DCE" w:rsidRPr="00056F0F">
        <w:rPr>
          <w:rFonts w:ascii="Times New Roman" w:hAnsi="Times New Roman"/>
          <w:sz w:val="28"/>
          <w:szCs w:val="28"/>
        </w:rPr>
        <w:t>апланированные на 1</w:t>
      </w:r>
      <w:r w:rsidR="00F31998">
        <w:rPr>
          <w:rFonts w:ascii="Times New Roman" w:hAnsi="Times New Roman"/>
          <w:sz w:val="28"/>
          <w:szCs w:val="28"/>
        </w:rPr>
        <w:t>-2</w:t>
      </w:r>
      <w:r w:rsidR="00635DCE" w:rsidRPr="00056F0F">
        <w:rPr>
          <w:rFonts w:ascii="Times New Roman" w:hAnsi="Times New Roman"/>
          <w:sz w:val="28"/>
          <w:szCs w:val="28"/>
        </w:rPr>
        <w:t xml:space="preserve"> квартал 20</w:t>
      </w:r>
      <w:r w:rsidR="00CF7886">
        <w:rPr>
          <w:rFonts w:ascii="Times New Roman" w:hAnsi="Times New Roman"/>
          <w:sz w:val="28"/>
          <w:szCs w:val="28"/>
        </w:rPr>
        <w:t xml:space="preserve">20 </w:t>
      </w:r>
      <w:r w:rsidR="00491E3F" w:rsidRPr="00056F0F">
        <w:rPr>
          <w:rFonts w:ascii="Times New Roman" w:hAnsi="Times New Roman"/>
          <w:sz w:val="28"/>
          <w:szCs w:val="28"/>
        </w:rPr>
        <w:t>года.</w:t>
      </w:r>
    </w:p>
    <w:p w:rsidR="00491E3F" w:rsidRPr="00056F0F" w:rsidRDefault="00695260" w:rsidP="00491E3F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муниципальных учреждениях реализующих программы спортивной подготовки </w:t>
      </w:r>
      <w:r w:rsidR="000E558D">
        <w:rPr>
          <w:rFonts w:ascii="Times New Roman" w:hAnsi="Times New Roman"/>
          <w:sz w:val="28"/>
          <w:szCs w:val="28"/>
        </w:rPr>
        <w:t>занимается 4607</w:t>
      </w:r>
      <w:r w:rsidR="00491E3F" w:rsidRPr="00056F0F">
        <w:rPr>
          <w:rFonts w:ascii="Times New Roman" w:hAnsi="Times New Roman"/>
          <w:sz w:val="28"/>
          <w:szCs w:val="28"/>
        </w:rPr>
        <w:t xml:space="preserve"> человек. </w:t>
      </w:r>
    </w:p>
    <w:p w:rsidR="00090444" w:rsidRDefault="00F31998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</w:t>
      </w:r>
      <w:r w:rsidR="000E558D" w:rsidRPr="00090444">
        <w:rPr>
          <w:rFonts w:ascii="Times New Roman" w:hAnsi="Times New Roman"/>
          <w:sz w:val="28"/>
          <w:szCs w:val="28"/>
        </w:rPr>
        <w:t xml:space="preserve"> 2020</w:t>
      </w:r>
      <w:r w:rsidR="00491E3F" w:rsidRPr="00090444">
        <w:rPr>
          <w:rFonts w:ascii="Times New Roman" w:hAnsi="Times New Roman"/>
          <w:sz w:val="28"/>
          <w:szCs w:val="28"/>
        </w:rPr>
        <w:t xml:space="preserve"> года присв</w:t>
      </w:r>
      <w:r w:rsidR="00090444" w:rsidRPr="00090444">
        <w:rPr>
          <w:rFonts w:ascii="Times New Roman" w:hAnsi="Times New Roman"/>
          <w:sz w:val="28"/>
          <w:szCs w:val="28"/>
        </w:rPr>
        <w:t>оено:</w:t>
      </w:r>
    </w:p>
    <w:p w:rsidR="0007303B" w:rsidRPr="0007303B" w:rsidRDefault="0007303B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7303B">
        <w:rPr>
          <w:rFonts w:ascii="Times New Roman" w:hAnsi="Times New Roman"/>
          <w:sz w:val="28"/>
          <w:szCs w:val="28"/>
        </w:rPr>
        <w:t>1.Спортивный разряд «мастера спорта» - 1.</w:t>
      </w:r>
    </w:p>
    <w:p w:rsidR="00090444" w:rsidRPr="0007303B" w:rsidRDefault="00090444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7303B">
        <w:rPr>
          <w:rFonts w:ascii="Times New Roman" w:hAnsi="Times New Roman"/>
          <w:sz w:val="28"/>
          <w:szCs w:val="28"/>
        </w:rPr>
        <w:t>1.Спортивный разряд</w:t>
      </w:r>
      <w:r w:rsidR="0007303B" w:rsidRPr="0007303B">
        <w:rPr>
          <w:rFonts w:ascii="Times New Roman" w:hAnsi="Times New Roman"/>
          <w:sz w:val="28"/>
          <w:szCs w:val="28"/>
        </w:rPr>
        <w:t xml:space="preserve"> «кандидат в мастера спорта» - 20</w:t>
      </w:r>
      <w:r w:rsidRPr="0007303B">
        <w:rPr>
          <w:rFonts w:ascii="Times New Roman" w:hAnsi="Times New Roman"/>
          <w:sz w:val="28"/>
          <w:szCs w:val="28"/>
        </w:rPr>
        <w:t xml:space="preserve">. </w:t>
      </w:r>
    </w:p>
    <w:p w:rsidR="00491E3F" w:rsidRPr="0007303B" w:rsidRDefault="00090444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07303B">
        <w:rPr>
          <w:rFonts w:ascii="Times New Roman" w:hAnsi="Times New Roman"/>
          <w:sz w:val="28"/>
          <w:szCs w:val="28"/>
        </w:rPr>
        <w:t>2.Спортивный разряд</w:t>
      </w:r>
      <w:r w:rsidR="0007303B" w:rsidRPr="0007303B">
        <w:rPr>
          <w:rFonts w:ascii="Times New Roman" w:hAnsi="Times New Roman"/>
          <w:sz w:val="28"/>
          <w:szCs w:val="28"/>
        </w:rPr>
        <w:t xml:space="preserve"> «первый спортивный разряд» - 67</w:t>
      </w:r>
      <w:r w:rsidRPr="0007303B">
        <w:rPr>
          <w:rFonts w:ascii="Times New Roman" w:hAnsi="Times New Roman"/>
          <w:sz w:val="28"/>
          <w:szCs w:val="28"/>
        </w:rPr>
        <w:t>.</w:t>
      </w:r>
    </w:p>
    <w:p w:rsidR="00491E3F" w:rsidRPr="00056F0F" w:rsidRDefault="00491E3F" w:rsidP="00491E3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7303B">
        <w:rPr>
          <w:rFonts w:ascii="Times New Roman" w:hAnsi="Times New Roman"/>
          <w:sz w:val="28"/>
          <w:szCs w:val="28"/>
        </w:rPr>
        <w:tab/>
        <w:t>В целях повышения квалификации ведущих спортсменов города, для качественной подготовки к соревнованиям регионального,</w:t>
      </w:r>
      <w:r w:rsidR="00090444" w:rsidRPr="0007303B">
        <w:rPr>
          <w:rFonts w:ascii="Times New Roman" w:hAnsi="Times New Roman"/>
          <w:sz w:val="28"/>
          <w:szCs w:val="28"/>
        </w:rPr>
        <w:t xml:space="preserve"> межрегионального, всероссийского </w:t>
      </w:r>
      <w:r w:rsidR="00695260" w:rsidRPr="0007303B">
        <w:rPr>
          <w:rFonts w:ascii="Times New Roman" w:hAnsi="Times New Roman"/>
          <w:sz w:val="28"/>
          <w:szCs w:val="28"/>
        </w:rPr>
        <w:t>статуса</w:t>
      </w:r>
      <w:r w:rsidRPr="0007303B">
        <w:rPr>
          <w:rFonts w:ascii="Times New Roman" w:hAnsi="Times New Roman"/>
          <w:sz w:val="28"/>
          <w:szCs w:val="28"/>
        </w:rPr>
        <w:t xml:space="preserve"> состоя</w:t>
      </w:r>
      <w:r w:rsidR="00EC6760" w:rsidRPr="0007303B">
        <w:rPr>
          <w:rFonts w:ascii="Times New Roman" w:hAnsi="Times New Roman"/>
          <w:sz w:val="28"/>
          <w:szCs w:val="28"/>
        </w:rPr>
        <w:t>лся ряд тренировочных сборов (</w:t>
      </w:r>
      <w:r w:rsidR="00064838" w:rsidRPr="0007303B">
        <w:rPr>
          <w:rFonts w:ascii="Times New Roman" w:hAnsi="Times New Roman"/>
          <w:sz w:val="28"/>
          <w:szCs w:val="28"/>
        </w:rPr>
        <w:t>10</w:t>
      </w:r>
      <w:r w:rsidRPr="0007303B">
        <w:rPr>
          <w:rFonts w:ascii="Times New Roman" w:hAnsi="Times New Roman"/>
          <w:sz w:val="28"/>
          <w:szCs w:val="28"/>
        </w:rPr>
        <w:t xml:space="preserve">) по таким видам спорта как: </w:t>
      </w:r>
      <w:r w:rsidRPr="0007303B">
        <w:rPr>
          <w:rFonts w:ascii="Times New Roman" w:hAnsi="Times New Roman" w:hint="eastAsia"/>
          <w:sz w:val="28"/>
          <w:szCs w:val="28"/>
        </w:rPr>
        <w:t>вольная</w:t>
      </w:r>
      <w:r w:rsidRPr="0007303B">
        <w:rPr>
          <w:rFonts w:ascii="Times New Roman" w:hAnsi="Times New Roman"/>
          <w:sz w:val="28"/>
          <w:szCs w:val="28"/>
        </w:rPr>
        <w:t xml:space="preserve"> </w:t>
      </w:r>
      <w:r w:rsidRPr="0007303B">
        <w:rPr>
          <w:rFonts w:ascii="Times New Roman" w:hAnsi="Times New Roman" w:hint="eastAsia"/>
          <w:sz w:val="28"/>
          <w:szCs w:val="28"/>
        </w:rPr>
        <w:t>борьба</w:t>
      </w:r>
      <w:r w:rsidRPr="0007303B">
        <w:rPr>
          <w:rFonts w:ascii="Times New Roman" w:hAnsi="Times New Roman"/>
          <w:sz w:val="28"/>
          <w:szCs w:val="28"/>
        </w:rPr>
        <w:t xml:space="preserve">, </w:t>
      </w:r>
      <w:r w:rsidRPr="0007303B">
        <w:rPr>
          <w:rFonts w:ascii="Times New Roman" w:hAnsi="Times New Roman" w:hint="eastAsia"/>
          <w:sz w:val="28"/>
          <w:szCs w:val="28"/>
        </w:rPr>
        <w:t>биатлон</w:t>
      </w:r>
      <w:r w:rsidRPr="0007303B">
        <w:rPr>
          <w:rFonts w:ascii="Times New Roman" w:hAnsi="Times New Roman"/>
          <w:sz w:val="28"/>
          <w:szCs w:val="28"/>
        </w:rPr>
        <w:t xml:space="preserve">, бокс, </w:t>
      </w:r>
      <w:r w:rsidR="00090444" w:rsidRPr="0007303B">
        <w:rPr>
          <w:rFonts w:ascii="Times New Roman" w:hAnsi="Times New Roman"/>
          <w:sz w:val="28"/>
          <w:szCs w:val="28"/>
        </w:rPr>
        <w:t xml:space="preserve">лыжные гонки, </w:t>
      </w:r>
      <w:r w:rsidRPr="0007303B">
        <w:rPr>
          <w:rFonts w:ascii="Times New Roman" w:hAnsi="Times New Roman"/>
          <w:sz w:val="28"/>
          <w:szCs w:val="28"/>
        </w:rPr>
        <w:t>плавание.</w:t>
      </w:r>
    </w:p>
    <w:p w:rsidR="00C2372A" w:rsidRPr="00056F0F" w:rsidRDefault="00E21899" w:rsidP="00C237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6F0F">
        <w:rPr>
          <w:rFonts w:ascii="Times New Roman" w:hAnsi="Times New Roman"/>
          <w:bCs/>
          <w:color w:val="000000"/>
          <w:sz w:val="28"/>
          <w:szCs w:val="28"/>
        </w:rPr>
        <w:t>Отделение адаптивной физической культуры и спорта муници</w:t>
      </w:r>
      <w:r w:rsidR="00695260">
        <w:rPr>
          <w:rFonts w:ascii="Times New Roman" w:hAnsi="Times New Roman"/>
          <w:bCs/>
          <w:color w:val="000000"/>
          <w:sz w:val="28"/>
          <w:szCs w:val="28"/>
        </w:rPr>
        <w:t>пального бюджетного учреждения ц</w:t>
      </w:r>
      <w:r w:rsidRPr="00056F0F">
        <w:rPr>
          <w:rFonts w:ascii="Times New Roman" w:hAnsi="Times New Roman"/>
          <w:bCs/>
          <w:color w:val="000000"/>
          <w:sz w:val="28"/>
          <w:szCs w:val="28"/>
        </w:rPr>
        <w:t>ентр физической куль</w:t>
      </w:r>
      <w:r w:rsidR="00695260">
        <w:rPr>
          <w:rFonts w:ascii="Times New Roman" w:hAnsi="Times New Roman"/>
          <w:bCs/>
          <w:color w:val="000000"/>
          <w:sz w:val="28"/>
          <w:szCs w:val="28"/>
        </w:rPr>
        <w:t xml:space="preserve">туры и спорта «Жемчужина Югры» реализует программы спортивной подготовки </w:t>
      </w:r>
      <w:r w:rsidR="00C2372A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федеральными стандартами спортивной подготовки </w:t>
      </w:r>
      <w:r w:rsidR="00695260">
        <w:rPr>
          <w:rFonts w:ascii="Times New Roman" w:hAnsi="Times New Roman"/>
          <w:bCs/>
          <w:color w:val="000000"/>
          <w:sz w:val="28"/>
          <w:szCs w:val="28"/>
        </w:rPr>
        <w:t>по видам спорта</w:t>
      </w:r>
      <w:r w:rsidR="00C2372A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56F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2372A" w:rsidRPr="00056F0F">
        <w:rPr>
          <w:rFonts w:ascii="Times New Roman" w:hAnsi="Times New Roman"/>
          <w:bCs/>
          <w:color w:val="000000"/>
          <w:sz w:val="28"/>
          <w:szCs w:val="28"/>
        </w:rPr>
        <w:t xml:space="preserve">спорт для лиц с поражением опорно-двигательного аппарата, спорт для лиц с интеллектуальными нарушениями, спорт глухих, спорт слепых. </w:t>
      </w:r>
    </w:p>
    <w:p w:rsidR="00E21899" w:rsidRPr="00056F0F" w:rsidRDefault="00064838" w:rsidP="00C237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6F0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F31998">
        <w:rPr>
          <w:rFonts w:ascii="Times New Roman" w:hAnsi="Times New Roman"/>
          <w:bCs/>
          <w:color w:val="000000"/>
          <w:sz w:val="28"/>
          <w:szCs w:val="28"/>
        </w:rPr>
        <w:t>первом полугодии</w:t>
      </w:r>
      <w:r w:rsidR="000E558D">
        <w:rPr>
          <w:rFonts w:ascii="Times New Roman" w:hAnsi="Times New Roman"/>
          <w:bCs/>
          <w:color w:val="000000"/>
          <w:sz w:val="28"/>
          <w:szCs w:val="28"/>
        </w:rPr>
        <w:t xml:space="preserve"> 2020</w:t>
      </w:r>
      <w:r w:rsidRPr="00056F0F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="00E21899" w:rsidRPr="00056F0F">
        <w:rPr>
          <w:rFonts w:ascii="Times New Roman" w:hAnsi="Times New Roman"/>
          <w:bCs/>
          <w:color w:val="000000"/>
          <w:sz w:val="28"/>
          <w:szCs w:val="28"/>
        </w:rPr>
        <w:t xml:space="preserve"> в учреждении числится 20 сотрудников, обеспечивающих работу по реабилитации инвалидов посредством физической культуры, а именно: заведующий отделением, 12 тренеров-преподавателей, 2 инструктора по адаптивной физической культуре, 3 инструктора-методиста, сопровождающий инвалида первой группы инвалидности, водитель автобуса.</w:t>
      </w:r>
    </w:p>
    <w:p w:rsidR="00491E3F" w:rsidRPr="00056F0F" w:rsidRDefault="0035415A" w:rsidP="00E218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E0AE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F31998">
        <w:rPr>
          <w:rFonts w:ascii="Times New Roman" w:hAnsi="Times New Roman"/>
          <w:bCs/>
          <w:color w:val="000000"/>
          <w:sz w:val="28"/>
          <w:szCs w:val="28"/>
        </w:rPr>
        <w:t xml:space="preserve">первом полугодии </w:t>
      </w:r>
      <w:r w:rsidR="003E0AEF">
        <w:rPr>
          <w:rFonts w:ascii="Times New Roman" w:hAnsi="Times New Roman"/>
          <w:bCs/>
          <w:color w:val="000000"/>
          <w:sz w:val="28"/>
          <w:szCs w:val="28"/>
        </w:rPr>
        <w:t>2020 году занимающиеся отделения адаптивной физической культуры и спорта приняли участие в 6 соревнованиях, из них 3 муниципального уровня и 3 регионального уровня</w:t>
      </w:r>
      <w:r w:rsidR="00491E3F" w:rsidRPr="003E0AEF">
        <w:rPr>
          <w:rFonts w:ascii="Times New Roman" w:hAnsi="Times New Roman"/>
          <w:bCs/>
          <w:sz w:val="28"/>
          <w:szCs w:val="28"/>
        </w:rPr>
        <w:t>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lastRenderedPageBreak/>
        <w:t>Во исполнение пункта 2.8. протокола № 197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</w:t>
      </w:r>
      <w:r w:rsidR="001625B0" w:rsidRPr="00056F0F">
        <w:rPr>
          <w:rFonts w:ascii="Times New Roman" w:hAnsi="Times New Roman"/>
          <w:sz w:val="28"/>
          <w:szCs w:val="28"/>
        </w:rPr>
        <w:t>круга – Югры от 08.08.2017 года.</w:t>
      </w:r>
    </w:p>
    <w:p w:rsidR="001625B0" w:rsidRPr="00056F0F" w:rsidRDefault="00856F24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Формирование и реализация конкурентной политики осуществляется в соответствии с Планом мероприятий («дорожной картой») по поддержке доступа негосударственных организаций (коммерческих, некоммерческих) к предоставлению услуг в социальной сфере в муниципальном</w:t>
      </w:r>
      <w:r w:rsidR="001625B0" w:rsidRPr="00056F0F">
        <w:rPr>
          <w:rFonts w:ascii="Times New Roman" w:hAnsi="Times New Roman"/>
          <w:sz w:val="28"/>
          <w:szCs w:val="28"/>
        </w:rPr>
        <w:t xml:space="preserve"> образовании город Нефтеюганск.</w:t>
      </w:r>
      <w:r w:rsidR="001625B0" w:rsidRPr="00056F0F">
        <w:t xml:space="preserve"> </w:t>
      </w:r>
      <w:r w:rsidR="001625B0" w:rsidRPr="00056F0F">
        <w:rPr>
          <w:rFonts w:ascii="Times New Roman" w:hAnsi="Times New Roman"/>
          <w:sz w:val="28"/>
          <w:szCs w:val="28"/>
        </w:rPr>
        <w:t>Комитет физической культуры и спорта является   участником реализации плана мероприятий проекта «пилотная площадка» по разработке и апробации технологий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сфере физической культуры и спорта по направлению «Проведение занятий физкультурно-спортивной направленности по месту проживания граждан»,</w:t>
      </w:r>
      <w:r w:rsidR="001625B0" w:rsidRPr="00056F0F">
        <w:t xml:space="preserve"> </w:t>
      </w:r>
      <w:r w:rsidR="001625B0" w:rsidRPr="00056F0F">
        <w:rPr>
          <w:rFonts w:ascii="Times New Roman" w:hAnsi="Times New Roman"/>
          <w:sz w:val="28"/>
          <w:szCs w:val="28"/>
        </w:rPr>
        <w:t>в настоящее время Комитетом проведена следующая работа:</w:t>
      </w:r>
    </w:p>
    <w:p w:rsidR="001625B0" w:rsidRPr="00056F0F" w:rsidRDefault="001625B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осуществлен расчет нормативных затрат на выполнение муниципальной работы (содержание объектов, а также затраты на аренду имущества; затраты на приобретение услуг связи, транспортных услуг; оплата труда с начислениями и т.д.);</w:t>
      </w:r>
    </w:p>
    <w:p w:rsidR="001625B0" w:rsidRPr="00056F0F" w:rsidRDefault="001625B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в стадии разработки регламент оказания и передачи муниципальной работы; </w:t>
      </w:r>
    </w:p>
    <w:p w:rsidR="001625B0" w:rsidRPr="00056F0F" w:rsidRDefault="001625B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в стадии разработки проект распоряжения по передачи муниципальной работы.  </w:t>
      </w:r>
    </w:p>
    <w:p w:rsidR="00F56E4B" w:rsidRPr="00056F0F" w:rsidRDefault="00F56E4B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План мероприятий проекта «пилотная площадка» по разработке и апробации технологий негосударственных организаций, так же включает в себя:</w:t>
      </w:r>
    </w:p>
    <w:p w:rsidR="00491E3F" w:rsidRPr="00056F0F" w:rsidRDefault="00F56E4B" w:rsidP="0049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</w:t>
      </w:r>
      <w:r w:rsidR="00491E3F" w:rsidRPr="00056F0F">
        <w:rPr>
          <w:rFonts w:ascii="Times New Roman" w:hAnsi="Times New Roman"/>
          <w:sz w:val="28"/>
          <w:szCs w:val="28"/>
        </w:rPr>
        <w:t>редоставление субсидии немуниципальным (коммерческим, некоммерческим) организациям, в том числе социально ориентированным некоммерческим организациям на финансовое обеспечение (возмещение) затрат в связи с выполнением работ, оказанием услуг в сфере физической культуры и спорта;</w:t>
      </w:r>
    </w:p>
    <w:p w:rsidR="00491E3F" w:rsidRPr="00056F0F" w:rsidRDefault="00F56E4B" w:rsidP="0049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</w:t>
      </w:r>
      <w:r w:rsidR="00491E3F" w:rsidRPr="00056F0F">
        <w:rPr>
          <w:rFonts w:ascii="Times New Roman" w:hAnsi="Times New Roman"/>
          <w:sz w:val="28"/>
          <w:szCs w:val="28"/>
        </w:rPr>
        <w:t xml:space="preserve">редоставление муниципальных грантов на реализацию социально значимых проектов в сфере физической культуры и спорта. </w:t>
      </w:r>
    </w:p>
    <w:p w:rsidR="00491E3F" w:rsidRPr="00056F0F" w:rsidRDefault="00491E3F" w:rsidP="00491E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56F24" w:rsidRPr="00056F0F" w:rsidRDefault="00491E3F" w:rsidP="00491E3F">
      <w:pPr>
        <w:tabs>
          <w:tab w:val="left" w:pos="37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ab/>
      </w:r>
      <w:r w:rsidR="00B93311" w:rsidRPr="00056F0F">
        <w:rPr>
          <w:rFonts w:ascii="Times New Roman" w:hAnsi="Times New Roman"/>
          <w:b/>
          <w:sz w:val="28"/>
          <w:szCs w:val="28"/>
        </w:rPr>
        <w:tab/>
      </w:r>
      <w:r w:rsidRPr="00056F0F">
        <w:rPr>
          <w:rFonts w:ascii="Times New Roman" w:hAnsi="Times New Roman"/>
          <w:b/>
          <w:sz w:val="28"/>
          <w:szCs w:val="28"/>
        </w:rPr>
        <w:t>По подпрограмме 2 «</w:t>
      </w:r>
      <w:r w:rsidR="004F19DB" w:rsidRPr="004F19DB">
        <w:rPr>
          <w:rFonts w:ascii="Times New Roman" w:hAnsi="Times New Roman"/>
          <w:b/>
          <w:sz w:val="28"/>
          <w:szCs w:val="28"/>
        </w:rPr>
        <w:t>Развитие материально-технической базы и спортивной инфраструктуры</w:t>
      </w:r>
      <w:r w:rsidRPr="00056F0F">
        <w:rPr>
          <w:rFonts w:ascii="Times New Roman" w:hAnsi="Times New Roman"/>
          <w:b/>
          <w:sz w:val="28"/>
          <w:szCs w:val="28"/>
        </w:rPr>
        <w:t>»</w:t>
      </w:r>
    </w:p>
    <w:p w:rsidR="00856F24" w:rsidRPr="00056F0F" w:rsidRDefault="00856F24" w:rsidP="00856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>Общий объём финансирования программы 20</w:t>
      </w:r>
      <w:r w:rsidR="00CF7886">
        <w:rPr>
          <w:rFonts w:ascii="Times New Roman" w:eastAsia="Arial Unicode MS" w:hAnsi="Times New Roman"/>
          <w:bCs/>
          <w:kern w:val="24"/>
          <w:sz w:val="28"/>
          <w:szCs w:val="28"/>
        </w:rPr>
        <w:t>20</w:t>
      </w: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 год – </w:t>
      </w:r>
      <w:r w:rsidR="00F31998">
        <w:rPr>
          <w:rFonts w:ascii="Times New Roman" w:hAnsi="Times New Roman"/>
          <w:sz w:val="28"/>
          <w:szCs w:val="28"/>
        </w:rPr>
        <w:t>692 8</w:t>
      </w:r>
      <w:r w:rsidR="002E477B">
        <w:rPr>
          <w:rFonts w:ascii="Times New Roman" w:hAnsi="Times New Roman"/>
          <w:sz w:val="28"/>
          <w:szCs w:val="28"/>
        </w:rPr>
        <w:t>91,644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bCs/>
          <w:kern w:val="24"/>
          <w:sz w:val="28"/>
          <w:szCs w:val="28"/>
        </w:rPr>
        <w:t>тыс. рублей, в том числе:</w:t>
      </w:r>
    </w:p>
    <w:p w:rsidR="00856F24" w:rsidRPr="00056F0F" w:rsidRDefault="00856F24" w:rsidP="00856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Бюджет автономного округа – </w:t>
      </w:r>
      <w:r w:rsidR="00F31998">
        <w:rPr>
          <w:rFonts w:ascii="Times New Roman" w:hAnsi="Times New Roman"/>
          <w:sz w:val="28"/>
          <w:szCs w:val="28"/>
        </w:rPr>
        <w:t>420 5</w:t>
      </w:r>
      <w:r w:rsidR="002E477B">
        <w:rPr>
          <w:rFonts w:ascii="Times New Roman" w:hAnsi="Times New Roman"/>
          <w:sz w:val="28"/>
          <w:szCs w:val="28"/>
        </w:rPr>
        <w:t>00</w:t>
      </w:r>
      <w:r w:rsidRPr="00056F0F">
        <w:rPr>
          <w:rFonts w:ascii="Times New Roman" w:hAnsi="Times New Roman"/>
          <w:sz w:val="28"/>
          <w:szCs w:val="28"/>
        </w:rPr>
        <w:t xml:space="preserve">,000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856F24" w:rsidP="00575C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Муниципальный бюджет – </w:t>
      </w:r>
      <w:r w:rsidR="002E477B">
        <w:rPr>
          <w:rFonts w:ascii="Times New Roman" w:hAnsi="Times New Roman"/>
          <w:sz w:val="28"/>
          <w:szCs w:val="28"/>
        </w:rPr>
        <w:t>272 391,644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 тыс. рублей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EE630A" w:rsidRDefault="00575C54" w:rsidP="00EE630A">
      <w:pPr>
        <w:spacing w:after="0" w:line="240" w:lineRule="auto"/>
        <w:ind w:firstLine="708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hAnsi="Times New Roman"/>
          <w:b/>
          <w:sz w:val="28"/>
          <w:szCs w:val="28"/>
        </w:rPr>
        <w:t>-по основному мероприятию 2.1.</w:t>
      </w:r>
      <w:r w:rsidR="00CC5DA5" w:rsidRPr="00056F0F">
        <w:rPr>
          <w:rFonts w:ascii="Times New Roman" w:hAnsi="Times New Roman"/>
          <w:b/>
          <w:sz w:val="28"/>
          <w:szCs w:val="28"/>
        </w:rPr>
        <w:t xml:space="preserve"> </w:t>
      </w:r>
      <w:r w:rsidR="00491E3F" w:rsidRPr="00056F0F">
        <w:rPr>
          <w:rFonts w:ascii="Times New Roman" w:hAnsi="Times New Roman"/>
          <w:b/>
          <w:sz w:val="28"/>
          <w:szCs w:val="28"/>
        </w:rPr>
        <w:t>«</w:t>
      </w:r>
      <w:r w:rsidRPr="00056F0F">
        <w:rPr>
          <w:rFonts w:ascii="Times New Roman" w:hAnsi="Times New Roman"/>
          <w:b/>
          <w:sz w:val="28"/>
          <w:szCs w:val="28"/>
        </w:rPr>
        <w:t xml:space="preserve">Укрепление материально-технической базы учреждений сферы физической культуры и </w:t>
      </w:r>
      <w:bookmarkStart w:id="0" w:name="_GoBack"/>
      <w:bookmarkEnd w:id="0"/>
      <w:proofErr w:type="gramStart"/>
      <w:r w:rsidR="002A3822" w:rsidRPr="00056F0F">
        <w:rPr>
          <w:rFonts w:ascii="Times New Roman" w:hAnsi="Times New Roman"/>
          <w:b/>
          <w:sz w:val="28"/>
          <w:szCs w:val="28"/>
        </w:rPr>
        <w:t>спорта</w:t>
      </w:r>
      <w:r w:rsidR="002A3822">
        <w:rPr>
          <w:rFonts w:ascii="Times New Roman" w:hAnsi="Times New Roman"/>
          <w:b/>
          <w:sz w:val="28"/>
          <w:szCs w:val="28"/>
        </w:rPr>
        <w:t>»</w:t>
      </w:r>
      <w:r w:rsidR="002A3822" w:rsidRPr="00056F0F">
        <w:rPr>
          <w:rFonts w:ascii="Times New Roman" w:hAnsi="Times New Roman"/>
          <w:b/>
          <w:sz w:val="28"/>
          <w:szCs w:val="28"/>
        </w:rPr>
        <w:t xml:space="preserve">  </w:t>
      </w:r>
      <w:r w:rsidRPr="00056F0F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056F0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491E3F" w:rsidRPr="00056F0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91E3F"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</w:t>
      </w:r>
      <w:r w:rsidR="00491E3F" w:rsidRPr="00CF7886">
        <w:rPr>
          <w:rFonts w:ascii="Times New Roman" w:hAnsi="Times New Roman"/>
          <w:sz w:val="28"/>
          <w:szCs w:val="28"/>
        </w:rPr>
        <w:t xml:space="preserve">Нефтеюганска </w:t>
      </w:r>
      <w:r w:rsidR="00CF7886" w:rsidRPr="002A3822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исполнение программного мероприятия к плановым показателям 2020 года составляет </w:t>
      </w:r>
      <w:r w:rsidR="00EE630A" w:rsidRPr="002A3822">
        <w:rPr>
          <w:rFonts w:ascii="Times New Roman" w:eastAsia="+mn-ea" w:hAnsi="Times New Roman"/>
          <w:kern w:val="24"/>
          <w:sz w:val="28"/>
          <w:szCs w:val="28"/>
          <w:u w:val="single"/>
        </w:rPr>
        <w:t>5</w:t>
      </w:r>
      <w:r w:rsidR="00CF7886" w:rsidRPr="002A3822">
        <w:rPr>
          <w:rFonts w:ascii="Times New Roman" w:eastAsia="+mn-ea" w:hAnsi="Times New Roman"/>
          <w:kern w:val="24"/>
          <w:sz w:val="28"/>
          <w:szCs w:val="28"/>
          <w:u w:val="single"/>
        </w:rPr>
        <w:t>%, по итогам 1</w:t>
      </w:r>
      <w:r w:rsidR="00EE630A" w:rsidRPr="002A3822">
        <w:rPr>
          <w:rFonts w:ascii="Times New Roman" w:eastAsia="+mn-ea" w:hAnsi="Times New Roman"/>
          <w:kern w:val="24"/>
          <w:sz w:val="28"/>
          <w:szCs w:val="28"/>
          <w:u w:val="single"/>
        </w:rPr>
        <w:t>-го полугодия 2020 года 6%</w:t>
      </w:r>
    </w:p>
    <w:p w:rsidR="00491E3F" w:rsidRPr="00056F0F" w:rsidRDefault="00056F0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</w:t>
      </w:r>
      <w:r w:rsidR="00491E3F" w:rsidRPr="00056F0F">
        <w:rPr>
          <w:rFonts w:ascii="Times New Roman" w:hAnsi="Times New Roman"/>
          <w:b/>
          <w:sz w:val="28"/>
          <w:szCs w:val="28"/>
        </w:rPr>
        <w:t>по основному мероприятию 2.2. «</w:t>
      </w:r>
      <w:r w:rsidR="00575C54" w:rsidRPr="00056F0F">
        <w:rPr>
          <w:rFonts w:ascii="Times New Roman" w:hAnsi="Times New Roman"/>
          <w:b/>
          <w:sz w:val="28"/>
          <w:szCs w:val="28"/>
        </w:rPr>
        <w:t>Совершенствование инфраструктуры спорта в городе Нефтеюганске</w:t>
      </w:r>
      <w:r w:rsidR="00491E3F" w:rsidRPr="00056F0F">
        <w:rPr>
          <w:rFonts w:ascii="Times New Roman" w:hAnsi="Times New Roman"/>
          <w:b/>
          <w:sz w:val="28"/>
          <w:szCs w:val="28"/>
        </w:rPr>
        <w:t xml:space="preserve">» </w:t>
      </w:r>
      <w:r w:rsidR="00491E3F" w:rsidRPr="00056F0F">
        <w:rPr>
          <w:rFonts w:ascii="Times New Roman" w:hAnsi="Times New Roman"/>
          <w:sz w:val="28"/>
          <w:szCs w:val="28"/>
        </w:rPr>
        <w:t>запланированы расходы:</w:t>
      </w:r>
    </w:p>
    <w:p w:rsidR="00AB4012" w:rsidRPr="00056F0F" w:rsidRDefault="00AB4012" w:rsidP="00AB40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запланированы расходы в сумме </w:t>
      </w:r>
      <w:r w:rsidR="00B41EE9">
        <w:rPr>
          <w:rFonts w:ascii="Times New Roman" w:hAnsi="Times New Roman"/>
          <w:sz w:val="28"/>
          <w:szCs w:val="28"/>
        </w:rPr>
        <w:t>0,000</w:t>
      </w:r>
      <w:r w:rsidRPr="00056F0F">
        <w:rPr>
          <w:rFonts w:ascii="Times New Roman" w:hAnsi="Times New Roman"/>
          <w:sz w:val="28"/>
          <w:szCs w:val="28"/>
        </w:rPr>
        <w:t xml:space="preserve"> тыс. рублей по местному бюджету.</w:t>
      </w:r>
    </w:p>
    <w:p w:rsidR="0031170C" w:rsidRDefault="00AB4012" w:rsidP="0031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</w:t>
      </w:r>
      <w:r w:rsidR="00491E3F" w:rsidRPr="00056F0F">
        <w:rPr>
          <w:rFonts w:ascii="Times New Roman" w:hAnsi="Times New Roman"/>
          <w:sz w:val="28"/>
          <w:szCs w:val="28"/>
        </w:rPr>
        <w:t xml:space="preserve">о соисполнителю – </w:t>
      </w:r>
      <w:r w:rsidRPr="00056F0F">
        <w:rPr>
          <w:rFonts w:ascii="Times New Roman" w:hAnsi="Times New Roman"/>
          <w:sz w:val="28"/>
          <w:szCs w:val="28"/>
        </w:rPr>
        <w:t>д</w:t>
      </w:r>
      <w:r w:rsidR="00575C54" w:rsidRPr="00056F0F">
        <w:rPr>
          <w:rFonts w:ascii="Times New Roman" w:hAnsi="Times New Roman"/>
          <w:sz w:val="28"/>
          <w:szCs w:val="28"/>
        </w:rPr>
        <w:t xml:space="preserve">епартамент градостроительства и земельных отношений администрации города Нефтеюганска </w:t>
      </w:r>
    </w:p>
    <w:p w:rsidR="0031170C" w:rsidRPr="00056F0F" w:rsidRDefault="0031170C" w:rsidP="0031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за счет субсидии из бюджета автономного округа </w:t>
      </w:r>
      <w:r>
        <w:rPr>
          <w:rFonts w:ascii="Times New Roman" w:hAnsi="Times New Roman"/>
          <w:sz w:val="28"/>
          <w:szCs w:val="28"/>
        </w:rPr>
        <w:t>в сумме 418 800,000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31170C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за счет субсидии </w:t>
      </w:r>
      <w:r>
        <w:rPr>
          <w:rFonts w:ascii="Times New Roman" w:hAnsi="Times New Roman"/>
          <w:sz w:val="28"/>
          <w:szCs w:val="28"/>
        </w:rPr>
        <w:t>местного бюджета в сумме 272 391,644</w:t>
      </w:r>
      <w:r w:rsidR="00491E3F" w:rsidRPr="00056F0F">
        <w:rPr>
          <w:rFonts w:ascii="Times New Roman" w:hAnsi="Times New Roman"/>
          <w:sz w:val="28"/>
          <w:szCs w:val="28"/>
        </w:rPr>
        <w:t xml:space="preserve"> тыс. </w:t>
      </w:r>
    </w:p>
    <w:p w:rsidR="00AB4012" w:rsidRPr="00056F0F" w:rsidRDefault="0031170C" w:rsidP="00AB40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сумме 691 191,644</w:t>
      </w:r>
      <w:r w:rsidR="00AB4012"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491E3F" w:rsidRPr="00BE07DB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BE07DB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575C54" w:rsidRPr="00BE07DB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ятия к плановым </w:t>
      </w:r>
      <w:r w:rsidR="0031170C" w:rsidRPr="00BE07DB">
        <w:rPr>
          <w:rFonts w:ascii="Times New Roman" w:eastAsia="+mn-ea" w:hAnsi="Times New Roman"/>
          <w:kern w:val="24"/>
          <w:sz w:val="28"/>
          <w:szCs w:val="28"/>
          <w:u w:val="single"/>
        </w:rPr>
        <w:t>показателям 2020</w:t>
      </w:r>
      <w:r w:rsidRPr="00BE07DB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</w:t>
      </w:r>
      <w:r w:rsidR="00AB4012" w:rsidRPr="00BE07DB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ет </w:t>
      </w:r>
      <w:r w:rsidR="00CF7886" w:rsidRPr="00BE07DB">
        <w:rPr>
          <w:rFonts w:ascii="Times New Roman" w:eastAsia="+mn-ea" w:hAnsi="Times New Roman"/>
          <w:kern w:val="24"/>
          <w:sz w:val="28"/>
          <w:szCs w:val="28"/>
          <w:u w:val="single"/>
        </w:rPr>
        <w:t>0</w:t>
      </w:r>
      <w:r w:rsidR="00EE63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,1%, по итогам 1-го полугодия </w:t>
      </w:r>
      <w:r w:rsidR="0031170C" w:rsidRPr="00BE07DB">
        <w:rPr>
          <w:rFonts w:ascii="Times New Roman" w:eastAsia="+mn-ea" w:hAnsi="Times New Roman"/>
          <w:kern w:val="24"/>
          <w:sz w:val="28"/>
          <w:szCs w:val="28"/>
          <w:u w:val="single"/>
        </w:rPr>
        <w:t>2020</w:t>
      </w:r>
      <w:r w:rsidRPr="00BE07DB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</w:t>
      </w:r>
      <w:r w:rsidR="00EE630A">
        <w:rPr>
          <w:rFonts w:ascii="Times New Roman" w:eastAsia="+mn-ea" w:hAnsi="Times New Roman"/>
          <w:kern w:val="24"/>
          <w:sz w:val="28"/>
          <w:szCs w:val="28"/>
          <w:u w:val="single"/>
        </w:rPr>
        <w:t>69</w:t>
      </w:r>
      <w:r w:rsidRPr="00BE07DB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056F0F" w:rsidRPr="00BE07DB" w:rsidRDefault="00056F0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E07DB">
        <w:rPr>
          <w:rFonts w:ascii="Times New Roman" w:eastAsia="+mn-ea" w:hAnsi="Times New Roman"/>
          <w:kern w:val="24"/>
          <w:sz w:val="28"/>
          <w:szCs w:val="28"/>
        </w:rPr>
        <w:tab/>
      </w:r>
      <w:r w:rsidR="006C7B1B" w:rsidRPr="00BE07DB">
        <w:rPr>
          <w:rFonts w:ascii="Times New Roman" w:eastAsia="+mn-ea" w:hAnsi="Times New Roman"/>
          <w:kern w:val="24"/>
          <w:sz w:val="28"/>
          <w:szCs w:val="28"/>
        </w:rPr>
        <w:t xml:space="preserve">На основании пояснения </w:t>
      </w:r>
      <w:r w:rsidR="00CF7886" w:rsidRPr="00BE07DB">
        <w:rPr>
          <w:rFonts w:ascii="Times New Roman" w:eastAsia="+mn-ea" w:hAnsi="Times New Roman"/>
          <w:kern w:val="24"/>
          <w:sz w:val="28"/>
          <w:szCs w:val="28"/>
        </w:rPr>
        <w:t>ДГиЗО</w:t>
      </w:r>
      <w:r w:rsidR="006C7B1B" w:rsidRPr="00BE07DB">
        <w:rPr>
          <w:rFonts w:ascii="Times New Roman" w:eastAsia="+mn-ea" w:hAnsi="Times New Roman"/>
          <w:kern w:val="24"/>
          <w:sz w:val="28"/>
          <w:szCs w:val="28"/>
        </w:rPr>
        <w:t>:</w:t>
      </w:r>
    </w:p>
    <w:p w:rsidR="006C7B1B" w:rsidRPr="00BE07DB" w:rsidRDefault="006C7B1B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E07DB">
        <w:rPr>
          <w:rFonts w:ascii="Times New Roman" w:eastAsia="+mn-ea" w:hAnsi="Times New Roman"/>
          <w:kern w:val="24"/>
          <w:sz w:val="28"/>
          <w:szCs w:val="28"/>
        </w:rPr>
        <w:t xml:space="preserve">- здание, предназначенное под спорткомплекс «Сибиряк» (капитальный ремонт) на сумму 349 539,00 рублей (из них 92 304,00 рублей местный бюджет, 257 235,00 </w:t>
      </w:r>
      <w:r w:rsidR="00DD13EB" w:rsidRPr="00BE07DB">
        <w:rPr>
          <w:rFonts w:ascii="Times New Roman" w:eastAsia="+mn-ea" w:hAnsi="Times New Roman"/>
          <w:kern w:val="24"/>
          <w:sz w:val="28"/>
          <w:szCs w:val="28"/>
        </w:rPr>
        <w:t>рублей за счет средств ООО «РН-Юганскнефтегаз») заключен договор на ведение авторского надзора по данному объекту. Исполнени</w:t>
      </w:r>
      <w:r w:rsidR="00BE07DB" w:rsidRPr="00BE07DB">
        <w:rPr>
          <w:rFonts w:ascii="Times New Roman" w:eastAsia="+mn-ea" w:hAnsi="Times New Roman"/>
          <w:kern w:val="24"/>
          <w:sz w:val="28"/>
          <w:szCs w:val="28"/>
        </w:rPr>
        <w:t>е мероприятия запланировано на 3</w:t>
      </w:r>
      <w:r w:rsidR="00DD13EB" w:rsidRPr="00BE07DB">
        <w:rPr>
          <w:rFonts w:ascii="Times New Roman" w:eastAsia="+mn-ea" w:hAnsi="Times New Roman"/>
          <w:kern w:val="24"/>
          <w:sz w:val="28"/>
          <w:szCs w:val="28"/>
        </w:rPr>
        <w:t xml:space="preserve"> квартал 2020 года.</w:t>
      </w:r>
    </w:p>
    <w:p w:rsidR="00DD13EB" w:rsidRPr="00056F0F" w:rsidRDefault="00DD13EB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E07DB">
        <w:rPr>
          <w:rFonts w:ascii="Times New Roman" w:eastAsia="+mn-ea" w:hAnsi="Times New Roman"/>
          <w:kern w:val="24"/>
          <w:sz w:val="28"/>
          <w:szCs w:val="28"/>
        </w:rPr>
        <w:t>= строительство «Многофункционального спортивного комплекса в городе Нефтеюганске» в сумме 690 842 105,00 рублей (из них за счет средств окружного бюджета - 418 800 000,00 рублей, местный бюджет – 22 042 100,00 рублей, за счет средств ООО «РН-Юганскнефтегаз» 250 000 000,00 рублей). Исполнение выделенного финансирования на 2020 год</w:t>
      </w:r>
      <w:r w:rsidR="00FA6DAE" w:rsidRPr="00BE07DB">
        <w:rPr>
          <w:rFonts w:ascii="Times New Roman" w:eastAsia="+mn-ea" w:hAnsi="Times New Roman"/>
          <w:kern w:val="24"/>
          <w:sz w:val="28"/>
          <w:szCs w:val="28"/>
        </w:rPr>
        <w:t xml:space="preserve"> запланировано на 4 квартал 2020 года.</w:t>
      </w:r>
    </w:p>
    <w:p w:rsidR="00575C54" w:rsidRPr="00056F0F" w:rsidRDefault="00575C54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</w:p>
    <w:p w:rsidR="00575C54" w:rsidRPr="00056F0F" w:rsidRDefault="00575C54" w:rsidP="00575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По подпрограмме 3. «Организация деятельности в сфере физической культуры и спорта» </w:t>
      </w:r>
      <w:r w:rsidR="00D6605D">
        <w:rPr>
          <w:rFonts w:ascii="Times New Roman" w:hAnsi="Times New Roman"/>
          <w:sz w:val="28"/>
          <w:szCs w:val="28"/>
        </w:rPr>
        <w:t>на 2020</w:t>
      </w:r>
      <w:r w:rsidRPr="00056F0F">
        <w:rPr>
          <w:rFonts w:ascii="Times New Roman" w:hAnsi="Times New Roman"/>
          <w:sz w:val="28"/>
          <w:szCs w:val="28"/>
        </w:rPr>
        <w:t xml:space="preserve"> год запланированы расход</w:t>
      </w:r>
      <w:r w:rsidR="00D6605D">
        <w:rPr>
          <w:rFonts w:ascii="Times New Roman" w:hAnsi="Times New Roman"/>
          <w:sz w:val="28"/>
          <w:szCs w:val="28"/>
        </w:rPr>
        <w:t>ы в общей сумме 21 229,369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575C54" w:rsidRPr="00056F0F" w:rsidRDefault="00575C54" w:rsidP="00575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местный бюджет в сумме </w:t>
      </w:r>
      <w:r w:rsidR="00D6605D">
        <w:rPr>
          <w:rFonts w:ascii="Times New Roman" w:hAnsi="Times New Roman"/>
          <w:sz w:val="28"/>
          <w:szCs w:val="28"/>
        </w:rPr>
        <w:t>21 229,369</w:t>
      </w:r>
      <w:r w:rsidR="00D6605D"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 xml:space="preserve">тыс. рублей, </w:t>
      </w:r>
    </w:p>
    <w:p w:rsidR="00575C54" w:rsidRPr="00056F0F" w:rsidRDefault="00575C54" w:rsidP="00575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575C54" w:rsidRPr="00056F0F" w:rsidRDefault="00575C54" w:rsidP="00575C5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3.1. «Организационное обеспечение функционирования отрасли»</w:t>
      </w:r>
      <w:r w:rsidRPr="00056F0F">
        <w:rPr>
          <w:rFonts w:ascii="Times New Roman" w:hAnsi="Times New Roman"/>
          <w:sz w:val="28"/>
          <w:szCs w:val="28"/>
        </w:rPr>
        <w:t xml:space="preserve"> запланированы за счет средств местного бюджета</w:t>
      </w:r>
      <w:r w:rsidRPr="00056F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6605D">
        <w:rPr>
          <w:rFonts w:ascii="Times New Roman" w:hAnsi="Times New Roman"/>
          <w:sz w:val="28"/>
          <w:szCs w:val="28"/>
        </w:rPr>
        <w:t>в сумме 21 118,0</w:t>
      </w:r>
      <w:r w:rsidRPr="00056F0F">
        <w:rPr>
          <w:rFonts w:ascii="Times New Roman" w:hAnsi="Times New Roman"/>
          <w:sz w:val="28"/>
          <w:szCs w:val="28"/>
        </w:rPr>
        <w:t xml:space="preserve">00 тыс. рублей. </w:t>
      </w:r>
    </w:p>
    <w:p w:rsidR="00575C54" w:rsidRPr="00EE630A" w:rsidRDefault="00575C54" w:rsidP="00575C54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color w:val="FF0000"/>
          <w:kern w:val="24"/>
          <w:sz w:val="28"/>
          <w:szCs w:val="28"/>
        </w:rPr>
        <w:tab/>
      </w:r>
      <w:r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мероприятия к плановым пок</w:t>
      </w:r>
      <w:r w:rsidR="00D6605D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азателям 2020</w:t>
      </w:r>
      <w:r w:rsidR="00217110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EE630A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46</w:t>
      </w:r>
      <w:r w:rsidR="00D6605D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%, по итогам 1</w:t>
      </w:r>
      <w:r w:rsidR="00EE630A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-го</w:t>
      </w:r>
      <w:r w:rsidR="00D6605D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</w:t>
      </w:r>
      <w:r w:rsidR="00EE630A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полугодия</w:t>
      </w:r>
      <w:r w:rsidR="00D6605D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2020</w:t>
      </w:r>
      <w:r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</w:t>
      </w:r>
      <w:r w:rsidR="00EE630A"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96</w:t>
      </w:r>
      <w:r w:rsidRPr="00EE630A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056F0F" w:rsidRPr="00056F0F" w:rsidRDefault="00056F0F" w:rsidP="00575C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30A">
        <w:rPr>
          <w:rFonts w:ascii="Times New Roman" w:hAnsi="Times New Roman"/>
          <w:sz w:val="28"/>
          <w:szCs w:val="28"/>
        </w:rPr>
        <w:tab/>
        <w:t xml:space="preserve">Остаток бюджетных ассигнований образовался </w:t>
      </w:r>
      <w:r w:rsidR="00EE630A" w:rsidRPr="00EE630A">
        <w:rPr>
          <w:rFonts w:ascii="Times New Roman" w:hAnsi="Times New Roman"/>
          <w:sz w:val="28"/>
          <w:szCs w:val="28"/>
        </w:rPr>
        <w:t xml:space="preserve">в связи с отсутствием расходов на оплату стоимости проезда и провоза багажа к месту использования отпуска и обратно, а также </w:t>
      </w:r>
      <w:r w:rsidR="00BC7CB2" w:rsidRPr="00EE630A">
        <w:rPr>
          <w:rFonts w:ascii="Times New Roman" w:hAnsi="Times New Roman"/>
          <w:sz w:val="28"/>
          <w:szCs w:val="28"/>
        </w:rPr>
        <w:t xml:space="preserve">в связи с переносом обучения на </w:t>
      </w:r>
      <w:proofErr w:type="spellStart"/>
      <w:r w:rsidR="00EE630A" w:rsidRPr="00EE630A">
        <w:rPr>
          <w:rFonts w:ascii="Times New Roman" w:hAnsi="Times New Roman"/>
          <w:sz w:val="28"/>
          <w:szCs w:val="28"/>
        </w:rPr>
        <w:t>на</w:t>
      </w:r>
      <w:proofErr w:type="spellEnd"/>
      <w:r w:rsidR="00EE630A" w:rsidRPr="00EE630A">
        <w:rPr>
          <w:rFonts w:ascii="Times New Roman" w:hAnsi="Times New Roman"/>
          <w:sz w:val="28"/>
          <w:szCs w:val="28"/>
        </w:rPr>
        <w:t xml:space="preserve"> курсах повышения квалификации, а также на </w:t>
      </w:r>
      <w:r w:rsidR="00BC7CB2" w:rsidRPr="00EE630A">
        <w:rPr>
          <w:rFonts w:ascii="Times New Roman" w:hAnsi="Times New Roman"/>
          <w:sz w:val="28"/>
          <w:szCs w:val="28"/>
        </w:rPr>
        <w:t>курсах "Пожарно-технический минимум", "Охрана труда работников организаций", "Гражданская оборона и единая государственная система предупреждения и ликвидации чрезвычайных ситуаций"</w:t>
      </w:r>
      <w:r w:rsidR="00EE630A" w:rsidRPr="00EE630A">
        <w:rPr>
          <w:rFonts w:ascii="Times New Roman" w:hAnsi="Times New Roman"/>
          <w:sz w:val="28"/>
          <w:szCs w:val="28"/>
        </w:rPr>
        <w:t>.</w:t>
      </w:r>
    </w:p>
    <w:p w:rsidR="00491E3F" w:rsidRPr="00056F0F" w:rsidRDefault="00491E3F" w:rsidP="00491E3F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D6605D" w:rsidRPr="00CF7886" w:rsidRDefault="00A02C42" w:rsidP="00D6605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6F0F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- по основному мероприятию 3.2. «</w:t>
      </w:r>
      <w:r w:rsidR="004F19DB" w:rsidRPr="004F19DB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Усиление социальной направленности муниципальной политики в сфере физической культуры и спорта</w:t>
      </w:r>
      <w:r w:rsidRPr="004F19DB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»</w:t>
      </w:r>
      <w:r w:rsidRPr="00056F0F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 xml:space="preserve"> </w:t>
      </w:r>
      <w:r w:rsidR="00D6605D" w:rsidRPr="00056F0F">
        <w:rPr>
          <w:rFonts w:ascii="Times New Roman" w:hAnsi="Times New Roman"/>
          <w:sz w:val="28"/>
          <w:szCs w:val="28"/>
        </w:rPr>
        <w:t>запланированы за счет средств местного бюджета</w:t>
      </w:r>
      <w:r w:rsidR="00D6605D" w:rsidRPr="00056F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6605D">
        <w:rPr>
          <w:rFonts w:ascii="Times New Roman" w:hAnsi="Times New Roman"/>
          <w:sz w:val="28"/>
          <w:szCs w:val="28"/>
        </w:rPr>
        <w:t>в сумме 111,369</w:t>
      </w:r>
      <w:r w:rsidR="00D6605D" w:rsidRPr="00056F0F">
        <w:rPr>
          <w:rFonts w:ascii="Times New Roman" w:hAnsi="Times New Roman"/>
          <w:sz w:val="28"/>
          <w:szCs w:val="28"/>
        </w:rPr>
        <w:t xml:space="preserve"> тыс. </w:t>
      </w:r>
      <w:r w:rsidR="00D6605D" w:rsidRPr="00CF7886">
        <w:rPr>
          <w:rFonts w:ascii="Times New Roman" w:hAnsi="Times New Roman"/>
          <w:sz w:val="28"/>
          <w:szCs w:val="28"/>
        </w:rPr>
        <w:t xml:space="preserve">рублей. </w:t>
      </w:r>
    </w:p>
    <w:p w:rsidR="00D6605D" w:rsidRPr="00CF7886" w:rsidRDefault="00D6605D" w:rsidP="00D6605D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CF7886">
        <w:rPr>
          <w:rFonts w:ascii="Times New Roman" w:eastAsia="+mn-ea" w:hAnsi="Times New Roman"/>
          <w:color w:val="FF0000"/>
          <w:kern w:val="24"/>
          <w:sz w:val="28"/>
          <w:szCs w:val="28"/>
        </w:rPr>
        <w:tab/>
      </w:r>
      <w:r w:rsidRPr="00CF7886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Исполнение программного мероприятия к плановым показателям 2020 года составляет </w:t>
      </w:r>
      <w:r w:rsidR="00CF7886" w:rsidRPr="00CF7886">
        <w:rPr>
          <w:rFonts w:ascii="Times New Roman" w:eastAsia="+mn-ea" w:hAnsi="Times New Roman"/>
          <w:kern w:val="24"/>
          <w:sz w:val="28"/>
          <w:szCs w:val="28"/>
          <w:u w:val="single"/>
        </w:rPr>
        <w:t>0</w:t>
      </w:r>
      <w:r w:rsidRPr="00CF7886">
        <w:rPr>
          <w:rFonts w:ascii="Times New Roman" w:eastAsia="+mn-ea" w:hAnsi="Times New Roman"/>
          <w:kern w:val="24"/>
          <w:sz w:val="28"/>
          <w:szCs w:val="28"/>
          <w:u w:val="single"/>
        </w:rPr>
        <w:t>%, по итогам 1</w:t>
      </w:r>
      <w:r w:rsidR="00EE630A">
        <w:rPr>
          <w:rFonts w:ascii="Times New Roman" w:eastAsia="+mn-ea" w:hAnsi="Times New Roman"/>
          <w:kern w:val="24"/>
          <w:sz w:val="28"/>
          <w:szCs w:val="28"/>
          <w:u w:val="single"/>
        </w:rPr>
        <w:t>-го</w:t>
      </w:r>
      <w:r w:rsidRPr="00CF7886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</w:t>
      </w:r>
      <w:r w:rsidR="00EE630A">
        <w:rPr>
          <w:rFonts w:ascii="Times New Roman" w:eastAsia="+mn-ea" w:hAnsi="Times New Roman"/>
          <w:kern w:val="24"/>
          <w:sz w:val="28"/>
          <w:szCs w:val="28"/>
          <w:u w:val="single"/>
        </w:rPr>
        <w:t>полугодия</w:t>
      </w:r>
      <w:r w:rsidRPr="00CF7886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2020 года </w:t>
      </w:r>
      <w:r w:rsidR="00CF7886" w:rsidRPr="00CF7886">
        <w:rPr>
          <w:rFonts w:ascii="Times New Roman" w:eastAsia="+mn-ea" w:hAnsi="Times New Roman"/>
          <w:kern w:val="24"/>
          <w:sz w:val="28"/>
          <w:szCs w:val="28"/>
          <w:u w:val="single"/>
        </w:rPr>
        <w:t>0</w:t>
      </w:r>
      <w:r w:rsidRPr="00CF7886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D6605D" w:rsidRPr="00056F0F" w:rsidRDefault="00D6605D" w:rsidP="00D660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886">
        <w:rPr>
          <w:rFonts w:ascii="Times New Roman" w:hAnsi="Times New Roman"/>
          <w:sz w:val="28"/>
          <w:szCs w:val="28"/>
        </w:rPr>
        <w:tab/>
        <w:t xml:space="preserve">Остаток бюджетных ассигнований образовался </w:t>
      </w:r>
      <w:r w:rsidR="00CF7886" w:rsidRPr="00CF7886">
        <w:rPr>
          <w:rFonts w:ascii="Times New Roman" w:hAnsi="Times New Roman"/>
          <w:sz w:val="28"/>
          <w:szCs w:val="28"/>
        </w:rPr>
        <w:t>в связи с тем, что денежные средства запланированы на 4 квартал.</w:t>
      </w:r>
    </w:p>
    <w:p w:rsidR="00491E3F" w:rsidRPr="00491E3F" w:rsidRDefault="00491E3F" w:rsidP="00A02C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91E3F" w:rsidRPr="00491E3F" w:rsidRDefault="00491E3F" w:rsidP="0060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491E3F" w:rsidRPr="00491E3F" w:rsidSect="009D3A7A">
          <w:headerReference w:type="default" r:id="rId6"/>
          <w:pgSz w:w="11906" w:h="16838"/>
          <w:pgMar w:top="993" w:right="567" w:bottom="426" w:left="1701" w:header="709" w:footer="709" w:gutter="0"/>
          <w:cols w:space="708"/>
          <w:titlePg/>
          <w:docGrid w:linePitch="360"/>
        </w:sectPr>
      </w:pPr>
    </w:p>
    <w:p w:rsidR="00491E3F" w:rsidRPr="00602C57" w:rsidRDefault="00491E3F" w:rsidP="0060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>Отчёт</w:t>
      </w:r>
    </w:p>
    <w:p w:rsidR="00A02C42" w:rsidRPr="00602C57" w:rsidRDefault="00491E3F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 xml:space="preserve">о ходе реализации муниципальной программы </w:t>
      </w:r>
      <w:r w:rsidR="00A02C42" w:rsidRPr="00602C57">
        <w:rPr>
          <w:rFonts w:ascii="Times New Roman" w:hAnsi="Times New Roman"/>
          <w:color w:val="000000"/>
          <w:sz w:val="28"/>
          <w:szCs w:val="28"/>
        </w:rPr>
        <w:t>города Нефтеюганска</w:t>
      </w:r>
    </w:p>
    <w:p w:rsidR="00A02C42" w:rsidRPr="00602C57" w:rsidRDefault="00A02C42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 xml:space="preserve"> «Развитие физической культуры и спорта в городе Нефтеюганске» </w:t>
      </w:r>
    </w:p>
    <w:p w:rsidR="00A02C42" w:rsidRPr="00491E3F" w:rsidRDefault="00D6605D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1 квартал 2020</w:t>
      </w:r>
      <w:r w:rsidR="00A02C42" w:rsidRPr="00602C57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Наименовани</w:t>
      </w:r>
      <w:r w:rsidR="00A02C42">
        <w:rPr>
          <w:rFonts w:ascii="Times New Roman" w:hAnsi="Times New Roman"/>
          <w:color w:val="000000"/>
          <w:sz w:val="28"/>
          <w:szCs w:val="28"/>
        </w:rPr>
        <w:t>е Программы</w:t>
      </w:r>
      <w:r w:rsidRPr="00491E3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2C42" w:rsidRPr="00A02C42">
        <w:rPr>
          <w:rFonts w:ascii="Times New Roman" w:hAnsi="Times New Roman"/>
          <w:color w:val="000000"/>
          <w:sz w:val="28"/>
          <w:szCs w:val="28"/>
        </w:rPr>
        <w:t>«Развитие физической культуры и спорта в городе Нефтеюганске»</w:t>
      </w:r>
      <w:r w:rsidRPr="00A02C42">
        <w:rPr>
          <w:rFonts w:ascii="Times New Roman" w:hAnsi="Times New Roman"/>
          <w:color w:val="000000"/>
          <w:sz w:val="28"/>
          <w:szCs w:val="28"/>
        </w:rPr>
        <w:t>.</w:t>
      </w:r>
    </w:p>
    <w:p w:rsidR="00491E3F" w:rsidRPr="00491E3F" w:rsidRDefault="00491E3F" w:rsidP="00491E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Ответственный исполнитель Программы:</w:t>
      </w:r>
      <w:r w:rsidRPr="00491E3F">
        <w:rPr>
          <w:rFonts w:ascii="Times New Roman" w:hAnsi="Times New Roman"/>
          <w:sz w:val="28"/>
          <w:szCs w:val="28"/>
        </w:rPr>
        <w:t xml:space="preserve"> Комитет физической культуры и спорта администрации города Нефтеюганска.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Таблица № 1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(квартальная, годовая)</w:t>
      </w:r>
    </w:p>
    <w:tbl>
      <w:tblPr>
        <w:tblpPr w:leftFromText="180" w:rightFromText="180" w:vertAnchor="text" w:horzAnchor="margin" w:tblpXSpec="center" w:tblpY="13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216"/>
        <w:gridCol w:w="1471"/>
        <w:gridCol w:w="1683"/>
        <w:gridCol w:w="1763"/>
        <w:gridCol w:w="2087"/>
        <w:gridCol w:w="1980"/>
      </w:tblGrid>
      <w:tr w:rsidR="00491E3F" w:rsidRPr="00491E3F" w:rsidTr="00BE49B9">
        <w:trPr>
          <w:trHeight w:val="561"/>
        </w:trPr>
        <w:tc>
          <w:tcPr>
            <w:tcW w:w="658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6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целевых     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471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Единица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3446" w:type="dxa"/>
            <w:gridSpan w:val="2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реализации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067" w:type="dxa"/>
            <w:gridSpan w:val="2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491E3F" w:rsidRPr="00491E3F" w:rsidTr="00BE49B9">
        <w:trPr>
          <w:trHeight w:val="756"/>
        </w:trPr>
        <w:tc>
          <w:tcPr>
            <w:tcW w:w="658" w:type="dxa"/>
            <w:vMerge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плановое значение</w:t>
            </w:r>
          </w:p>
        </w:tc>
        <w:tc>
          <w:tcPr>
            <w:tcW w:w="176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087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абсолютное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значение (+/-)</w:t>
            </w:r>
          </w:p>
        </w:tc>
        <w:tc>
          <w:tcPr>
            <w:tcW w:w="1980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относительное значение (%)</w:t>
            </w:r>
          </w:p>
        </w:tc>
      </w:tr>
      <w:tr w:rsidR="00491E3F" w:rsidRPr="00491E3F" w:rsidTr="00BE49B9">
        <w:trPr>
          <w:trHeight w:val="273"/>
        </w:trPr>
        <w:tc>
          <w:tcPr>
            <w:tcW w:w="658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6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7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976AF" w:rsidRPr="00491E3F" w:rsidTr="00DA516C">
        <w:trPr>
          <w:trHeight w:val="1210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63" w:type="dxa"/>
            <w:vAlign w:val="center"/>
          </w:tcPr>
          <w:p w:rsidR="003976AF" w:rsidRPr="00D6605D" w:rsidRDefault="003976AF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76AF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2087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-2,7</w:t>
            </w:r>
          </w:p>
        </w:tc>
        <w:tc>
          <w:tcPr>
            <w:tcW w:w="1980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-9,3</w:t>
            </w:r>
          </w:p>
        </w:tc>
      </w:tr>
      <w:tr w:rsidR="003976AF" w:rsidRPr="00491E3F" w:rsidTr="00DA516C">
        <w:trPr>
          <w:trHeight w:val="1303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25,3</w:t>
            </w:r>
          </w:p>
        </w:tc>
        <w:tc>
          <w:tcPr>
            <w:tcW w:w="1763" w:type="dxa"/>
            <w:vAlign w:val="center"/>
          </w:tcPr>
          <w:p w:rsidR="003976AF" w:rsidRPr="00D6605D" w:rsidRDefault="003976AF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76AF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087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0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</w:tr>
      <w:tr w:rsidR="003976AF" w:rsidRPr="00491E3F" w:rsidTr="00DA516C">
        <w:trPr>
          <w:trHeight w:val="1128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24,6</w:t>
            </w:r>
          </w:p>
        </w:tc>
        <w:tc>
          <w:tcPr>
            <w:tcW w:w="1763" w:type="dxa"/>
            <w:vAlign w:val="center"/>
          </w:tcPr>
          <w:p w:rsidR="003976AF" w:rsidRPr="00D6605D" w:rsidRDefault="003976AF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1E5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087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1980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-52,8</w:t>
            </w:r>
          </w:p>
        </w:tc>
      </w:tr>
      <w:tr w:rsidR="003976AF" w:rsidRPr="00491E3F" w:rsidTr="00DA516C">
        <w:trPr>
          <w:trHeight w:val="1244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763" w:type="dxa"/>
            <w:vAlign w:val="center"/>
          </w:tcPr>
          <w:p w:rsidR="003976AF" w:rsidRPr="00D6605D" w:rsidRDefault="003976AF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1E5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87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0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3976AF" w:rsidRPr="00491E3F" w:rsidTr="00DA516C">
        <w:trPr>
          <w:trHeight w:val="1453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48,7</w:t>
            </w:r>
          </w:p>
        </w:tc>
        <w:tc>
          <w:tcPr>
            <w:tcW w:w="1763" w:type="dxa"/>
            <w:vAlign w:val="center"/>
          </w:tcPr>
          <w:p w:rsidR="003976AF" w:rsidRPr="00D6605D" w:rsidRDefault="00401E5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1E56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2087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980" w:type="dxa"/>
            <w:vAlign w:val="center"/>
          </w:tcPr>
          <w:p w:rsidR="003976AF" w:rsidRPr="00D6605D" w:rsidRDefault="0009188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886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19,6</w:t>
            </w:r>
          </w:p>
        </w:tc>
        <w:tc>
          <w:tcPr>
            <w:tcW w:w="1763" w:type="dxa"/>
            <w:vAlign w:val="center"/>
          </w:tcPr>
          <w:p w:rsidR="003976AF" w:rsidRPr="00D6605D" w:rsidRDefault="00C12867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867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2087" w:type="dxa"/>
            <w:vAlign w:val="center"/>
          </w:tcPr>
          <w:p w:rsidR="003976AF" w:rsidRPr="00D6605D" w:rsidRDefault="00C12867" w:rsidP="00C1286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86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80" w:type="dxa"/>
            <w:vAlign w:val="center"/>
          </w:tcPr>
          <w:p w:rsidR="003976AF" w:rsidRPr="00D6605D" w:rsidRDefault="00C12867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867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Merge w:val="restart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C12867" w:rsidRDefault="003976AF" w:rsidP="003976A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71F64">
              <w:rPr>
                <w:rFonts w:ascii="Times New Roman" w:hAnsi="Times New Roman"/>
              </w:rPr>
              <w:t>40</w:t>
            </w:r>
          </w:p>
        </w:tc>
        <w:tc>
          <w:tcPr>
            <w:tcW w:w="1763" w:type="dxa"/>
            <w:vAlign w:val="center"/>
          </w:tcPr>
          <w:p w:rsidR="003976AF" w:rsidRPr="00C12867" w:rsidRDefault="00471F6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2087" w:type="dxa"/>
            <w:vAlign w:val="center"/>
          </w:tcPr>
          <w:p w:rsidR="003976AF" w:rsidRPr="00C12867" w:rsidRDefault="00471F6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1F64">
              <w:rPr>
                <w:rFonts w:ascii="Times New Roman" w:hAnsi="Times New Roman"/>
                <w:sz w:val="24"/>
                <w:szCs w:val="24"/>
              </w:rPr>
              <w:t>-10,4</w:t>
            </w:r>
          </w:p>
        </w:tc>
        <w:tc>
          <w:tcPr>
            <w:tcW w:w="1980" w:type="dxa"/>
            <w:vAlign w:val="center"/>
          </w:tcPr>
          <w:p w:rsidR="003976AF" w:rsidRPr="00C12867" w:rsidRDefault="00471F6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Merge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Align w:val="center"/>
          </w:tcPr>
          <w:p w:rsidR="003976AF" w:rsidRPr="00A45C23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из них учащихся и студентов,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C12867" w:rsidRDefault="003976AF" w:rsidP="003976AF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71F6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63" w:type="dxa"/>
            <w:vAlign w:val="center"/>
          </w:tcPr>
          <w:p w:rsidR="003976AF" w:rsidRPr="00C12867" w:rsidRDefault="00170AA3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0A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7" w:type="dxa"/>
            <w:vAlign w:val="center"/>
          </w:tcPr>
          <w:p w:rsidR="003976AF" w:rsidRPr="00C12867" w:rsidRDefault="00170AA3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0AA3">
              <w:rPr>
                <w:rFonts w:ascii="Times New Roman" w:hAnsi="Times New Roman"/>
                <w:sz w:val="24"/>
                <w:szCs w:val="24"/>
              </w:rPr>
              <w:t>-56,9</w:t>
            </w:r>
          </w:p>
        </w:tc>
        <w:tc>
          <w:tcPr>
            <w:tcW w:w="1980" w:type="dxa"/>
            <w:vAlign w:val="center"/>
          </w:tcPr>
          <w:p w:rsidR="003976AF" w:rsidRPr="00C12867" w:rsidRDefault="00170AA3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0AA3">
              <w:rPr>
                <w:rFonts w:ascii="Times New Roman" w:hAnsi="Times New Roman"/>
                <w:sz w:val="24"/>
                <w:szCs w:val="24"/>
              </w:rPr>
              <w:t>-81,4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Align w:val="center"/>
          </w:tcPr>
          <w:p w:rsidR="003976AF" w:rsidRPr="00A45C23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216" w:type="dxa"/>
          </w:tcPr>
          <w:p w:rsidR="003976AF" w:rsidRPr="00A45C23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52,1</w:t>
            </w:r>
          </w:p>
        </w:tc>
        <w:tc>
          <w:tcPr>
            <w:tcW w:w="1763" w:type="dxa"/>
            <w:vAlign w:val="center"/>
          </w:tcPr>
          <w:p w:rsidR="003976AF" w:rsidRPr="00D6605D" w:rsidRDefault="003976AF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4183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2087" w:type="dxa"/>
            <w:vAlign w:val="center"/>
          </w:tcPr>
          <w:p w:rsidR="003976AF" w:rsidRPr="00D6605D" w:rsidRDefault="00434183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4183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980" w:type="dxa"/>
            <w:vAlign w:val="center"/>
          </w:tcPr>
          <w:p w:rsidR="003976AF" w:rsidRPr="00D6605D" w:rsidRDefault="00434183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4183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</w:tr>
    </w:tbl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43CA" w:rsidRDefault="003943CA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№ 2</w:t>
      </w:r>
    </w:p>
    <w:p w:rsidR="003943CA" w:rsidRPr="00491E3F" w:rsidRDefault="003943CA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(квартальная, годовая)</w:t>
      </w:r>
    </w:p>
    <w:p w:rsidR="003943CA" w:rsidRDefault="003943CA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971"/>
        <w:gridCol w:w="2269"/>
        <w:gridCol w:w="2284"/>
        <w:gridCol w:w="2703"/>
        <w:gridCol w:w="3046"/>
      </w:tblGrid>
      <w:tr w:rsidR="003943CA" w:rsidTr="003943CA">
        <w:trPr>
          <w:trHeight w:val="282"/>
          <w:jc w:val="center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Объём финансирования, тыс. рублей</w:t>
            </w:r>
          </w:p>
        </w:tc>
      </w:tr>
      <w:tr w:rsidR="003943CA" w:rsidTr="003943CA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плановое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3943CA" w:rsidTr="003943CA">
        <w:trPr>
          <w:trHeight w:val="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абсолютное значение 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относительное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</w:tr>
      <w:tr w:rsidR="003943CA" w:rsidTr="003943CA">
        <w:trPr>
          <w:trHeight w:val="27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943CA" w:rsidTr="003943CA">
        <w:trPr>
          <w:trHeight w:val="466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условий в городе Нефтеюганске для комплексного развития системы физической культуры и спорта; совершенствование инфраструктуры спорта, увеличение количества занимающихся физической культурой и спортом</w:t>
            </w:r>
          </w:p>
        </w:tc>
      </w:tr>
      <w:tr w:rsidR="003943CA" w:rsidTr="003943CA">
        <w:trPr>
          <w:trHeight w:val="466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1,2: 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спорта; повышение эффективности подготовки спортивного резерва и спорта высших достижений.</w:t>
            </w:r>
          </w:p>
        </w:tc>
      </w:tr>
      <w:tr w:rsidR="003943CA" w:rsidTr="003943CA">
        <w:trPr>
          <w:trHeight w:val="466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 Развитие системы массовой физической культуры, подготовки спортивного резерва и спорта высших достижений</w:t>
            </w:r>
          </w:p>
        </w:tc>
      </w:tr>
      <w:tr w:rsidR="003943CA" w:rsidTr="00BC7CB2">
        <w:trPr>
          <w:trHeight w:val="226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               (1, 3, 4, 5, 6, 7)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2D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6 114,302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E5140A" w:rsidRDefault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953,355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E5140A" w:rsidRDefault="00BC7CB2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B42CA" w:rsidRPr="00E51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5 160,947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E5140A" w:rsidRDefault="00BC7CB2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B42CA" w:rsidRPr="00E51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84,41</w:t>
            </w:r>
          </w:p>
        </w:tc>
      </w:tr>
      <w:tr w:rsidR="003943CA" w:rsidTr="00BC7CB2">
        <w:trPr>
          <w:trHeight w:val="61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 (5)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2 823,460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3943CA" w:rsidRDefault="0039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C7C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2 823,460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3943CA" w:rsidTr="00BC7CB2">
        <w:trPr>
          <w:trHeight w:val="126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спортивного резерва и спорта высших достижений   (1, 3, 5, 6,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669 521,299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3943CA" w:rsidRDefault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292 925,953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BC7CB2" w:rsidRDefault="00BC7CB2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376 595,346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BC7CB2" w:rsidRDefault="00BC7CB2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3943CA" w:rsidTr="003943CA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3: Совершенствование инфраструктуры спорта в городе Нефтеюганске, обеспечение комплексной безопасности и комфортных условий в учреждениях спорта</w:t>
            </w:r>
          </w:p>
        </w:tc>
      </w:tr>
      <w:tr w:rsidR="003943CA" w:rsidTr="003943CA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 Развитие материально-технической базы и спортивной инфраструктуры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учреждений сферы физической культуры и спорта (1, 3, 4, 5, 6,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1 929,460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3943CA" w:rsidRDefault="003B42C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BC7CB2"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Default="00BC7CB2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1 829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3943CA" w:rsidRDefault="00BC7CB2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инфраструктуры спорта в городе Нефтеюганске</w:t>
            </w:r>
          </w:p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(1, 2, 3, 4, 5, 6, 7, 8)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3943CA" w:rsidRDefault="003B42C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C7CB2"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Default="00BC7CB2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5140A">
              <w:rPr>
                <w:rFonts w:ascii="Times New Roman" w:hAnsi="Times New Roman"/>
                <w:color w:val="000000"/>
                <w:sz w:val="24"/>
                <w:szCs w:val="24"/>
              </w:rPr>
              <w:t>692 981,645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3943CA" w:rsidRDefault="00BC7CB2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514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5140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BC7CB2" w:rsidTr="003943CA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4: Обеспечение функций комитета физической культуры и спорта в соответствии с законодательством Российской Федерации</w:t>
            </w:r>
          </w:p>
        </w:tc>
      </w:tr>
      <w:tr w:rsidR="00BC7CB2" w:rsidTr="003943CA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 Организация деятельности в сфере физической культуры и спорта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функционирования отрасли (1)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21 118,000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3943CA" w:rsidRDefault="003B42C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C7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</w:t>
            </w:r>
            <w:r w:rsidR="00BC7CB2"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BC7CB2" w:rsidRDefault="00BC7CB2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451</w:t>
            </w: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B42CA">
              <w:rPr>
                <w:rFonts w:ascii="Times New Roman" w:hAnsi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BC7CB2" w:rsidRDefault="003B42C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</w:t>
            </w:r>
            <w:r w:rsidR="00BC7CB2"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Усиление социальной направленности муниципальной политики в сфере физической культуры и спорта (1, 3, 4, 5, 6)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111,369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3943CA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-111,369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2D40E4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1 39</w:t>
            </w:r>
            <w:r w:rsidR="00E514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5140A">
              <w:rPr>
                <w:rFonts w:ascii="Times New Roman" w:hAnsi="Times New Roman"/>
                <w:color w:val="000000"/>
                <w:sz w:val="24"/>
                <w:szCs w:val="24"/>
              </w:rPr>
              <w:t>362,068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3943CA" w:rsidRDefault="00E5140A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  <w:r w:rsidR="00BC7CB2"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407,59</w:t>
            </w:r>
            <w:r w:rsidR="00BC7CB2"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BC7CB2" w:rsidRDefault="00BC7CB2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5140A">
              <w:rPr>
                <w:rFonts w:ascii="Times New Roman" w:hAnsi="Times New Roman"/>
                <w:color w:val="000000"/>
                <w:sz w:val="24"/>
                <w:szCs w:val="24"/>
              </w:rPr>
              <w:t>1 090 954,472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BC7CB2" w:rsidRDefault="00BC7CB2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5140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BC7C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514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3A7A" w:rsidRPr="009D3A7A" w:rsidRDefault="009D3A7A" w:rsidP="009D3A7A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Руководитель </w:t>
      </w:r>
      <w:r w:rsidRPr="009D3A7A">
        <w:rPr>
          <w:rFonts w:ascii="Times New Roman" w:hAnsi="Times New Roman"/>
          <w:color w:val="333333"/>
          <w:sz w:val="20"/>
          <w:szCs w:val="20"/>
        </w:rPr>
        <w:t xml:space="preserve">структурного подразделения </w:t>
      </w:r>
    </w:p>
    <w:p w:rsidR="009D3A7A" w:rsidRPr="009D3A7A" w:rsidRDefault="009D3A7A" w:rsidP="009D3A7A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9D3A7A">
        <w:rPr>
          <w:rFonts w:ascii="Times New Roman" w:hAnsi="Times New Roman"/>
          <w:color w:val="333333"/>
          <w:sz w:val="20"/>
          <w:szCs w:val="20"/>
        </w:rPr>
        <w:t>администрации города Нефтеюганска</w:t>
      </w:r>
    </w:p>
    <w:p w:rsidR="0042745D" w:rsidRPr="0042745D" w:rsidRDefault="009D3A7A" w:rsidP="0042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333333"/>
          <w:sz w:val="20"/>
          <w:szCs w:val="20"/>
        </w:rPr>
        <w:t>– ответственного исполнителя программы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:     </w:t>
      </w:r>
      <w:r w:rsidR="0042745D" w:rsidRPr="0042745D">
        <w:rPr>
          <w:rFonts w:ascii="Times New Roman" w:hAnsi="Times New Roman"/>
          <w:color w:val="000000"/>
          <w:sz w:val="20"/>
          <w:szCs w:val="20"/>
        </w:rPr>
        <w:t>____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________________ </w:t>
      </w:r>
      <w:r w:rsidR="00D6605D">
        <w:rPr>
          <w:rFonts w:ascii="Times New Roman" w:hAnsi="Times New Roman"/>
          <w:color w:val="000000"/>
          <w:sz w:val="20"/>
          <w:szCs w:val="20"/>
        </w:rPr>
        <w:t>И.Н.Крутько</w:t>
      </w:r>
    </w:p>
    <w:p w:rsidR="009D3A7A" w:rsidRDefault="0042745D" w:rsidP="0042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2745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(подпись)                      (Ф.И.О.)                          </w:t>
      </w:r>
    </w:p>
    <w:p w:rsidR="0042745D" w:rsidRPr="009D3A7A" w:rsidRDefault="0042745D" w:rsidP="0042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Главный бухгалтер:                           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9D3A7A">
        <w:rPr>
          <w:rFonts w:ascii="Times New Roman" w:hAnsi="Times New Roman"/>
          <w:color w:val="000000"/>
          <w:sz w:val="20"/>
          <w:szCs w:val="20"/>
        </w:rPr>
        <w:t>____________________ Ю.М.Тимерханова</w:t>
      </w: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(подпись)                      (Ф.И.О.)                          </w:t>
      </w: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Должностное лицо, ответственное                                                            </w:t>
      </w: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>за составление формы</w:t>
      </w:r>
      <w:r w:rsidR="0042745D">
        <w:rPr>
          <w:rFonts w:ascii="Times New Roman" w:hAnsi="Times New Roman"/>
          <w:color w:val="000000"/>
          <w:sz w:val="20"/>
          <w:szCs w:val="20"/>
        </w:rPr>
        <w:t>: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         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D7B83">
        <w:rPr>
          <w:rFonts w:ascii="Times New Roman" w:hAnsi="Times New Roman"/>
          <w:color w:val="000000"/>
          <w:sz w:val="20"/>
          <w:szCs w:val="20"/>
        </w:rPr>
        <w:t xml:space="preserve"> ____________________ Г</w:t>
      </w:r>
      <w:r w:rsidR="0042745D">
        <w:rPr>
          <w:rFonts w:ascii="Times New Roman" w:hAnsi="Times New Roman"/>
          <w:color w:val="000000"/>
          <w:sz w:val="20"/>
          <w:szCs w:val="20"/>
        </w:rPr>
        <w:t>.А.</w:t>
      </w:r>
      <w:r w:rsidR="00ED7B83">
        <w:rPr>
          <w:rFonts w:ascii="Times New Roman" w:hAnsi="Times New Roman"/>
          <w:color w:val="000000"/>
          <w:sz w:val="20"/>
          <w:szCs w:val="20"/>
        </w:rPr>
        <w:t>Зырянова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          22-42-15</w:t>
      </w:r>
    </w:p>
    <w:p w:rsidR="00F71FA0" w:rsidRPr="00F71FA0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(подпись)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       (Ф.И.О.)            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(номер телефона)</w:t>
      </w:r>
    </w:p>
    <w:p w:rsidR="00491E3F" w:rsidRDefault="00491E3F" w:rsidP="00F71FA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sectPr w:rsidR="00491E3F" w:rsidSect="003E382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5C" w:rsidRDefault="00984D5C" w:rsidP="00491E3F">
      <w:pPr>
        <w:spacing w:after="0" w:line="240" w:lineRule="auto"/>
      </w:pPr>
      <w:r>
        <w:separator/>
      </w:r>
    </w:p>
  </w:endnote>
  <w:endnote w:type="continuationSeparator" w:id="0">
    <w:p w:rsidR="00984D5C" w:rsidRDefault="00984D5C" w:rsidP="0049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5C" w:rsidRDefault="00984D5C" w:rsidP="00491E3F">
      <w:pPr>
        <w:spacing w:after="0" w:line="240" w:lineRule="auto"/>
      </w:pPr>
      <w:r>
        <w:separator/>
      </w:r>
    </w:p>
  </w:footnote>
  <w:footnote w:type="continuationSeparator" w:id="0">
    <w:p w:rsidR="00984D5C" w:rsidRDefault="00984D5C" w:rsidP="0049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5C" w:rsidRDefault="00984D5C">
    <w:pPr>
      <w:pStyle w:val="a8"/>
      <w:jc w:val="center"/>
    </w:pPr>
  </w:p>
  <w:p w:rsidR="00984D5C" w:rsidRDefault="00984D5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40C"/>
    <w:rsid w:val="00034118"/>
    <w:rsid w:val="00052F8B"/>
    <w:rsid w:val="00056F0F"/>
    <w:rsid w:val="00064838"/>
    <w:rsid w:val="0007303B"/>
    <w:rsid w:val="00090444"/>
    <w:rsid w:val="00091886"/>
    <w:rsid w:val="000975D1"/>
    <w:rsid w:val="000A4BA5"/>
    <w:rsid w:val="000B0ED3"/>
    <w:rsid w:val="000B0F11"/>
    <w:rsid w:val="000D72A5"/>
    <w:rsid w:val="000E0B27"/>
    <w:rsid w:val="000E2596"/>
    <w:rsid w:val="000E33D4"/>
    <w:rsid w:val="000E558D"/>
    <w:rsid w:val="000F3069"/>
    <w:rsid w:val="000F3E55"/>
    <w:rsid w:val="000F6A01"/>
    <w:rsid w:val="000F6C94"/>
    <w:rsid w:val="001131FE"/>
    <w:rsid w:val="00117B83"/>
    <w:rsid w:val="00123E96"/>
    <w:rsid w:val="00133800"/>
    <w:rsid w:val="001412B1"/>
    <w:rsid w:val="001625B0"/>
    <w:rsid w:val="00170AA3"/>
    <w:rsid w:val="001B176A"/>
    <w:rsid w:val="001E2810"/>
    <w:rsid w:val="001E73D7"/>
    <w:rsid w:val="00217110"/>
    <w:rsid w:val="0025650E"/>
    <w:rsid w:val="00261C8A"/>
    <w:rsid w:val="00280EDC"/>
    <w:rsid w:val="002A3822"/>
    <w:rsid w:val="002B7C11"/>
    <w:rsid w:val="002D40E4"/>
    <w:rsid w:val="002E477B"/>
    <w:rsid w:val="002F080F"/>
    <w:rsid w:val="002F0C14"/>
    <w:rsid w:val="002F4651"/>
    <w:rsid w:val="002F5A8E"/>
    <w:rsid w:val="002F7FD6"/>
    <w:rsid w:val="0031170C"/>
    <w:rsid w:val="003229A4"/>
    <w:rsid w:val="0035415A"/>
    <w:rsid w:val="003702FA"/>
    <w:rsid w:val="00394025"/>
    <w:rsid w:val="003943CA"/>
    <w:rsid w:val="003976AF"/>
    <w:rsid w:val="003A713F"/>
    <w:rsid w:val="003B1390"/>
    <w:rsid w:val="003B42CA"/>
    <w:rsid w:val="003C6A4C"/>
    <w:rsid w:val="003E0AEF"/>
    <w:rsid w:val="003E382F"/>
    <w:rsid w:val="003F0F5B"/>
    <w:rsid w:val="00401E56"/>
    <w:rsid w:val="00406990"/>
    <w:rsid w:val="00415BFA"/>
    <w:rsid w:val="004208BF"/>
    <w:rsid w:val="0042745D"/>
    <w:rsid w:val="00432D55"/>
    <w:rsid w:val="00433617"/>
    <w:rsid w:val="00434183"/>
    <w:rsid w:val="00471F64"/>
    <w:rsid w:val="00491E3F"/>
    <w:rsid w:val="004B2697"/>
    <w:rsid w:val="004B3703"/>
    <w:rsid w:val="004F19DB"/>
    <w:rsid w:val="00506107"/>
    <w:rsid w:val="00511D81"/>
    <w:rsid w:val="005228E1"/>
    <w:rsid w:val="0053171E"/>
    <w:rsid w:val="00570555"/>
    <w:rsid w:val="00575C54"/>
    <w:rsid w:val="005B4325"/>
    <w:rsid w:val="005C5058"/>
    <w:rsid w:val="005E24CA"/>
    <w:rsid w:val="00602C57"/>
    <w:rsid w:val="00635DCE"/>
    <w:rsid w:val="00636A3D"/>
    <w:rsid w:val="006444D0"/>
    <w:rsid w:val="00683432"/>
    <w:rsid w:val="00695260"/>
    <w:rsid w:val="006A39EE"/>
    <w:rsid w:val="006A7C43"/>
    <w:rsid w:val="006B39EB"/>
    <w:rsid w:val="006C7B1B"/>
    <w:rsid w:val="006D18C0"/>
    <w:rsid w:val="006D45D7"/>
    <w:rsid w:val="007100CD"/>
    <w:rsid w:val="00721E99"/>
    <w:rsid w:val="007368C0"/>
    <w:rsid w:val="0074053F"/>
    <w:rsid w:val="00742ED2"/>
    <w:rsid w:val="007D12C7"/>
    <w:rsid w:val="007E6FAC"/>
    <w:rsid w:val="007F06D7"/>
    <w:rsid w:val="00820007"/>
    <w:rsid w:val="00856F24"/>
    <w:rsid w:val="0089482A"/>
    <w:rsid w:val="00896E90"/>
    <w:rsid w:val="008A3DEB"/>
    <w:rsid w:val="008C5EFB"/>
    <w:rsid w:val="009035A5"/>
    <w:rsid w:val="0091703F"/>
    <w:rsid w:val="00935C26"/>
    <w:rsid w:val="0095455C"/>
    <w:rsid w:val="0096707A"/>
    <w:rsid w:val="009749AC"/>
    <w:rsid w:val="00984D5C"/>
    <w:rsid w:val="00986B16"/>
    <w:rsid w:val="009A5AB6"/>
    <w:rsid w:val="009D07CD"/>
    <w:rsid w:val="009D3A7A"/>
    <w:rsid w:val="009E448A"/>
    <w:rsid w:val="00A02C42"/>
    <w:rsid w:val="00A111A3"/>
    <w:rsid w:val="00A21F52"/>
    <w:rsid w:val="00A43799"/>
    <w:rsid w:val="00A45C23"/>
    <w:rsid w:val="00A5275C"/>
    <w:rsid w:val="00A77E40"/>
    <w:rsid w:val="00AB1216"/>
    <w:rsid w:val="00AB4012"/>
    <w:rsid w:val="00AC61B6"/>
    <w:rsid w:val="00AE6234"/>
    <w:rsid w:val="00AF367F"/>
    <w:rsid w:val="00B336EE"/>
    <w:rsid w:val="00B41EE9"/>
    <w:rsid w:val="00B51A84"/>
    <w:rsid w:val="00B62D5F"/>
    <w:rsid w:val="00B70169"/>
    <w:rsid w:val="00B86F3E"/>
    <w:rsid w:val="00B93311"/>
    <w:rsid w:val="00BA49DA"/>
    <w:rsid w:val="00BB21B1"/>
    <w:rsid w:val="00BC33CE"/>
    <w:rsid w:val="00BC7CB2"/>
    <w:rsid w:val="00BE07DB"/>
    <w:rsid w:val="00BE49B9"/>
    <w:rsid w:val="00C11F62"/>
    <w:rsid w:val="00C12867"/>
    <w:rsid w:val="00C2372A"/>
    <w:rsid w:val="00C314B1"/>
    <w:rsid w:val="00C7610B"/>
    <w:rsid w:val="00C7785F"/>
    <w:rsid w:val="00C85C79"/>
    <w:rsid w:val="00CB0B7B"/>
    <w:rsid w:val="00CC56BF"/>
    <w:rsid w:val="00CC5DA5"/>
    <w:rsid w:val="00CD6895"/>
    <w:rsid w:val="00CF7886"/>
    <w:rsid w:val="00D12E64"/>
    <w:rsid w:val="00D152D0"/>
    <w:rsid w:val="00D261D8"/>
    <w:rsid w:val="00D45A7E"/>
    <w:rsid w:val="00D6605D"/>
    <w:rsid w:val="00D71F84"/>
    <w:rsid w:val="00D92ABD"/>
    <w:rsid w:val="00DC6F0D"/>
    <w:rsid w:val="00DD13EB"/>
    <w:rsid w:val="00DF4C06"/>
    <w:rsid w:val="00E21899"/>
    <w:rsid w:val="00E230BA"/>
    <w:rsid w:val="00E47836"/>
    <w:rsid w:val="00E5140A"/>
    <w:rsid w:val="00E6040C"/>
    <w:rsid w:val="00E61360"/>
    <w:rsid w:val="00EB307D"/>
    <w:rsid w:val="00EC6760"/>
    <w:rsid w:val="00ED7B83"/>
    <w:rsid w:val="00EE630A"/>
    <w:rsid w:val="00F00025"/>
    <w:rsid w:val="00F0441A"/>
    <w:rsid w:val="00F303C4"/>
    <w:rsid w:val="00F31998"/>
    <w:rsid w:val="00F56E4B"/>
    <w:rsid w:val="00F71FA0"/>
    <w:rsid w:val="00FA2B2F"/>
    <w:rsid w:val="00FA6DAE"/>
    <w:rsid w:val="00F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B0160-4150-4C7D-8B08-0BEAC7E6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40C"/>
    <w:rPr>
      <w:color w:val="0000FF"/>
      <w:u w:val="single"/>
    </w:rPr>
  </w:style>
  <w:style w:type="paragraph" w:styleId="2">
    <w:name w:val="Body Text 2"/>
    <w:basedOn w:val="a"/>
    <w:link w:val="20"/>
    <w:rsid w:val="00E6040C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link w:val="2"/>
    <w:rsid w:val="00E6040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2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D72A5"/>
    <w:rPr>
      <w:rFonts w:ascii="Segoe UI" w:hAnsi="Segoe UI" w:cs="Segoe UI"/>
      <w:sz w:val="18"/>
      <w:szCs w:val="18"/>
    </w:rPr>
  </w:style>
  <w:style w:type="paragraph" w:customStyle="1" w:styleId="1">
    <w:name w:val="Знак Знак1 Знак"/>
    <w:basedOn w:val="a"/>
    <w:rsid w:val="00D92AB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432D5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432D55"/>
    <w:rPr>
      <w:rFonts w:ascii="Pragmatica" w:hAnsi="Pragmatica"/>
      <w:b/>
      <w:color w:val="000000"/>
      <w:sz w:val="28"/>
      <w:szCs w:val="28"/>
    </w:rPr>
  </w:style>
  <w:style w:type="paragraph" w:customStyle="1" w:styleId="ConsPlusNormal">
    <w:name w:val="ConsPlusNormal"/>
    <w:rsid w:val="00D71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229A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B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16"/>
    <w:rPr>
      <w:sz w:val="22"/>
      <w:szCs w:val="22"/>
    </w:rPr>
  </w:style>
  <w:style w:type="table" w:styleId="aa">
    <w:name w:val="Table Grid"/>
    <w:basedOn w:val="a1"/>
    <w:rsid w:val="00AB12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rsid w:val="00491E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9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1E3F"/>
    <w:rPr>
      <w:sz w:val="22"/>
      <w:szCs w:val="22"/>
    </w:rPr>
  </w:style>
  <w:style w:type="table" w:customStyle="1" w:styleId="22">
    <w:name w:val="Сетка таблицы2"/>
    <w:basedOn w:val="a1"/>
    <w:next w:val="aa"/>
    <w:rsid w:val="009D3A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18883</CharactersWithSpaces>
  <SharedDoc>false</SharedDoc>
  <HLinks>
    <vt:vector size="6" baseType="variant"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mailto:pr_glava@uganadm.wsnet.ru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dns</cp:lastModifiedBy>
  <cp:revision>55</cp:revision>
  <cp:lastPrinted>2020-07-06T06:57:00Z</cp:lastPrinted>
  <dcterms:created xsi:type="dcterms:W3CDTF">2018-04-10T06:37:00Z</dcterms:created>
  <dcterms:modified xsi:type="dcterms:W3CDTF">2020-07-06T07:15:00Z</dcterms:modified>
</cp:coreProperties>
</file>