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proofErr w:type="spellStart"/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2"/>
        <w:gridCol w:w="5096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D5364" w:rsidP="007A031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99FD1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2319DB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  <w:p w:rsidR="00DF560E" w:rsidRPr="00540D6E" w:rsidRDefault="00DF560E" w:rsidP="00CE4708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</w:tbl>
    <w:p w:rsidR="00533E3F" w:rsidRDefault="00533E3F">
      <w:pPr>
        <w:rPr>
          <w:b/>
          <w:sz w:val="28"/>
        </w:rPr>
      </w:pPr>
    </w:p>
    <w:p w:rsidR="00A245E6" w:rsidRDefault="00A245E6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в целом</w:t>
      </w:r>
      <w:r w:rsidR="00D14716" w:rsidRPr="002C083D">
        <w:rPr>
          <w:sz w:val="28"/>
        </w:rPr>
        <w:t xml:space="preserve"> 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B62589" w:rsidRPr="002C083D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 строку:</w:t>
      </w:r>
    </w:p>
    <w:p w:rsidR="00FE0102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- «Целевые показатели</w:t>
      </w:r>
      <w:r w:rsidR="00E25591">
        <w:rPr>
          <w:sz w:val="28"/>
        </w:rPr>
        <w:t xml:space="preserve"> муниципальной программы</w:t>
      </w:r>
      <w:r w:rsidRPr="002C083D">
        <w:rPr>
          <w:sz w:val="28"/>
        </w:rPr>
        <w:t>» изложить в новой редакции</w:t>
      </w:r>
      <w:r w:rsidR="00FE0102">
        <w:rPr>
          <w:sz w:val="28"/>
        </w:rPr>
        <w:t>, дополнив 2 показателями:</w:t>
      </w:r>
    </w:p>
    <w:p w:rsidR="00134EC7" w:rsidRDefault="00FE0102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*</w:t>
      </w:r>
      <w:r w:rsidR="00134EC7">
        <w:rPr>
          <w:sz w:val="28"/>
        </w:rPr>
        <w:t xml:space="preserve"> </w:t>
      </w:r>
      <w:r>
        <w:rPr>
          <w:sz w:val="28"/>
        </w:rPr>
        <w:t>доставка саженцев – 98 шт.</w:t>
      </w:r>
      <w:r w:rsidR="00134EC7">
        <w:rPr>
          <w:sz w:val="28"/>
        </w:rPr>
        <w:t>;</w:t>
      </w:r>
    </w:p>
    <w:p w:rsidR="00B62589" w:rsidRDefault="00134EC7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* вывоз твёрдых коммунальных отходов – 433 м3</w:t>
      </w:r>
      <w:r w:rsidR="00B62589" w:rsidRPr="002C083D">
        <w:rPr>
          <w:sz w:val="28"/>
        </w:rPr>
        <w:t>.</w:t>
      </w:r>
    </w:p>
    <w:p w:rsidR="00752424" w:rsidRDefault="00752424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Учитывая, что муниципальная программа уже содержит такие показатели как ликвидация несанкционированных свалок и количество высаженных деревьев и кустарников, рекомендуем рассмотреть вопрос о</w:t>
      </w:r>
      <w:r w:rsidR="008A1063">
        <w:rPr>
          <w:sz w:val="28"/>
        </w:rPr>
        <w:t xml:space="preserve"> необходимости</w:t>
      </w:r>
      <w:r>
        <w:rPr>
          <w:sz w:val="28"/>
        </w:rPr>
        <w:t xml:space="preserve"> установлении вышеуказанных показателей.</w:t>
      </w:r>
    </w:p>
    <w:p w:rsidR="008A1063" w:rsidRPr="002C083D" w:rsidRDefault="008A1063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Кроме того, отсутствует указание на новые показатели в таблицах 3 и 4 муниципальной программы.</w:t>
      </w:r>
    </w:p>
    <w:p w:rsidR="00B637E5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- «Финансовое обеспечение</w:t>
      </w:r>
      <w:r>
        <w:rPr>
          <w:sz w:val="28"/>
        </w:rPr>
        <w:t xml:space="preserve"> муниципальной программы» изложить в новой редакции, а именно</w:t>
      </w:r>
      <w:r w:rsidR="00D14716" w:rsidRPr="00D14716">
        <w:rPr>
          <w:sz w:val="28"/>
        </w:rPr>
        <w:t xml:space="preserve"> </w:t>
      </w:r>
      <w:r w:rsidR="00846F4C" w:rsidRPr="00D14716">
        <w:rPr>
          <w:sz w:val="28"/>
        </w:rPr>
        <w:t>у</w:t>
      </w:r>
      <w:r w:rsidR="00846F4C">
        <w:rPr>
          <w:sz w:val="28"/>
        </w:rPr>
        <w:t>величить</w:t>
      </w:r>
      <w:r w:rsidR="00846F4C" w:rsidRPr="00D14716">
        <w:rPr>
          <w:sz w:val="28"/>
        </w:rPr>
        <w:t xml:space="preserve"> </w:t>
      </w:r>
      <w:r w:rsidR="00D14716" w:rsidRPr="00D14716">
        <w:rPr>
          <w:sz w:val="28"/>
        </w:rPr>
        <w:t xml:space="preserve">объём финансирования муниципальной программы на </w:t>
      </w:r>
      <w:r w:rsidR="00C72953">
        <w:rPr>
          <w:sz w:val="28"/>
        </w:rPr>
        <w:t>9 916,018</w:t>
      </w:r>
      <w:r w:rsidR="00D14716" w:rsidRPr="00D14716">
        <w:rPr>
          <w:sz w:val="28"/>
        </w:rPr>
        <w:t xml:space="preserve"> тыс. рублей</w:t>
      </w:r>
      <w:r w:rsidR="00B637E5">
        <w:rPr>
          <w:sz w:val="28"/>
        </w:rPr>
        <w:t>.</w:t>
      </w:r>
    </w:p>
    <w:p w:rsidR="001B12E7" w:rsidRDefault="00B637E5" w:rsidP="001B12E7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3.2. Таблицы 1.1, 3 муниципальной программ</w:t>
      </w:r>
      <w:r w:rsidR="00AC58D5">
        <w:rPr>
          <w:sz w:val="28"/>
          <w:lang w:val="en-US"/>
        </w:rPr>
        <w:t>s</w:t>
      </w:r>
      <w:r>
        <w:rPr>
          <w:sz w:val="28"/>
        </w:rPr>
        <w:t xml:space="preserve"> изложить в новой редакции.</w:t>
      </w:r>
      <w:r w:rsidR="00AC58D5" w:rsidRPr="00AC58D5">
        <w:rPr>
          <w:sz w:val="28"/>
        </w:rPr>
        <w:t xml:space="preserve"> </w:t>
      </w:r>
    </w:p>
    <w:p w:rsidR="00B637E5" w:rsidRDefault="00AC58D5" w:rsidP="001B12E7">
      <w:pPr>
        <w:spacing w:line="247" w:lineRule="auto"/>
        <w:ind w:firstLine="709"/>
        <w:jc w:val="both"/>
        <w:rPr>
          <w:sz w:val="28"/>
        </w:rPr>
      </w:pPr>
      <w:r w:rsidRPr="001B12E7">
        <w:rPr>
          <w:sz w:val="28"/>
        </w:rPr>
        <w:t>3</w:t>
      </w:r>
      <w:r>
        <w:rPr>
          <w:sz w:val="28"/>
        </w:rPr>
        <w:t>.3. Дополнить муниципальную программу приложение</w:t>
      </w:r>
      <w:r w:rsidR="001B12E7">
        <w:rPr>
          <w:sz w:val="28"/>
        </w:rPr>
        <w:t>м</w:t>
      </w:r>
      <w:r>
        <w:rPr>
          <w:sz w:val="28"/>
        </w:rPr>
        <w:t xml:space="preserve"> 3</w:t>
      </w:r>
      <w:r w:rsidR="001B12E7">
        <w:rPr>
          <w:sz w:val="28"/>
        </w:rPr>
        <w:t xml:space="preserve"> «Адресный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</w:t>
      </w:r>
      <w:r>
        <w:rPr>
          <w:sz w:val="28"/>
        </w:rPr>
        <w:t>.</w:t>
      </w:r>
    </w:p>
    <w:p w:rsidR="00B637E5" w:rsidRDefault="00B637E5" w:rsidP="00CF3E2A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AC58D5">
        <w:rPr>
          <w:sz w:val="28"/>
        </w:rPr>
        <w:t>4</w:t>
      </w:r>
      <w:r>
        <w:rPr>
          <w:sz w:val="28"/>
        </w:rPr>
        <w:t xml:space="preserve">.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>
        <w:rPr>
          <w:sz w:val="28"/>
        </w:rPr>
        <w:t xml:space="preserve"> мероприятию:</w:t>
      </w:r>
    </w:p>
    <w:p w:rsidR="00B637E5" w:rsidRDefault="00A87032" w:rsidP="00CF3E2A">
      <w:pPr>
        <w:ind w:firstLine="709"/>
        <w:jc w:val="both"/>
        <w:rPr>
          <w:sz w:val="28"/>
          <w:szCs w:val="28"/>
        </w:rPr>
      </w:pPr>
      <w:r>
        <w:rPr>
          <w:sz w:val="28"/>
        </w:rPr>
        <w:t>- 1.1</w:t>
      </w:r>
      <w:r w:rsidR="00B637E5">
        <w:rPr>
          <w:sz w:val="28"/>
        </w:rPr>
        <w:t xml:space="preserve"> </w:t>
      </w:r>
      <w:r w:rsidR="00B637E5" w:rsidRPr="00996DA5">
        <w:rPr>
          <w:sz w:val="28"/>
          <w:szCs w:val="28"/>
        </w:rPr>
        <w:t>«Реконструкция, расширение, модернизация, строительство коммунальных объектов, в том числе о</w:t>
      </w:r>
      <w:r w:rsidR="00B637E5">
        <w:rPr>
          <w:sz w:val="28"/>
          <w:szCs w:val="28"/>
        </w:rPr>
        <w:t>бъектов питьевого водоснабжения» по соисполнителю департаменту градостроительства и земельных отношений администрации города у</w:t>
      </w:r>
      <w:r w:rsidR="00DE3B46">
        <w:rPr>
          <w:sz w:val="28"/>
          <w:szCs w:val="28"/>
        </w:rPr>
        <w:t>величить</w:t>
      </w:r>
      <w:r w:rsidR="00B637E5">
        <w:rPr>
          <w:sz w:val="28"/>
          <w:szCs w:val="28"/>
        </w:rPr>
        <w:t xml:space="preserve"> средства местного бюджета </w:t>
      </w:r>
      <w:r w:rsidR="00EA2289">
        <w:rPr>
          <w:sz w:val="28"/>
          <w:szCs w:val="28"/>
        </w:rPr>
        <w:t xml:space="preserve">в сумме </w:t>
      </w:r>
      <w:r w:rsidR="00EC634D">
        <w:rPr>
          <w:sz w:val="28"/>
          <w:szCs w:val="28"/>
        </w:rPr>
        <w:t xml:space="preserve">132,605 </w:t>
      </w:r>
      <w:r w:rsidR="00EA2289">
        <w:rPr>
          <w:sz w:val="28"/>
          <w:szCs w:val="28"/>
        </w:rPr>
        <w:t>тыс. рублей</w:t>
      </w:r>
      <w:r w:rsidR="00626F80">
        <w:rPr>
          <w:sz w:val="28"/>
          <w:szCs w:val="28"/>
        </w:rPr>
        <w:t xml:space="preserve"> </w:t>
      </w:r>
      <w:r w:rsidR="003835F3" w:rsidRPr="003835F3">
        <w:rPr>
          <w:sz w:val="28"/>
          <w:szCs w:val="28"/>
        </w:rPr>
        <w:t xml:space="preserve">проведения историко-культурной экспертизы на проектные (изыскательские) работы по объекту «Тепловые сети 2 </w:t>
      </w:r>
      <w:proofErr w:type="spellStart"/>
      <w:r w:rsidR="003835F3" w:rsidRPr="003835F3">
        <w:rPr>
          <w:sz w:val="28"/>
          <w:szCs w:val="28"/>
        </w:rPr>
        <w:t>Ду</w:t>
      </w:r>
      <w:proofErr w:type="spellEnd"/>
      <w:r w:rsidR="003835F3" w:rsidRPr="003835F3">
        <w:rPr>
          <w:sz w:val="28"/>
          <w:szCs w:val="28"/>
        </w:rPr>
        <w:t xml:space="preserve"> 530 по ул.</w:t>
      </w:r>
      <w:r w:rsidR="003835F3">
        <w:rPr>
          <w:sz w:val="28"/>
          <w:szCs w:val="28"/>
        </w:rPr>
        <w:t xml:space="preserve"> </w:t>
      </w:r>
      <w:r w:rsidR="003835F3" w:rsidRPr="003835F3">
        <w:rPr>
          <w:sz w:val="28"/>
          <w:szCs w:val="28"/>
        </w:rPr>
        <w:t xml:space="preserve">Набережная от МК 16а-5 до МК15-18 Нефтяников» (участок от МК16-5 Набережная до ТК 1-15 </w:t>
      </w:r>
      <w:proofErr w:type="spellStart"/>
      <w:r w:rsidR="003835F3" w:rsidRPr="003835F3">
        <w:rPr>
          <w:sz w:val="28"/>
          <w:szCs w:val="28"/>
        </w:rPr>
        <w:t>мкр</w:t>
      </w:r>
      <w:proofErr w:type="spellEnd"/>
      <w:r w:rsidR="003835F3" w:rsidRPr="003835F3">
        <w:rPr>
          <w:sz w:val="28"/>
          <w:szCs w:val="28"/>
        </w:rPr>
        <w:t>.)» и на выполнение работ по осуществлению технологического присоединения по объекту «КНС-3а, коллектор напорного трубопровода (реконструкция)».</w:t>
      </w:r>
    </w:p>
    <w:p w:rsidR="00A87032" w:rsidRPr="00626F80" w:rsidRDefault="00A87032" w:rsidP="00A87032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626F80" w:rsidRPr="00626F80">
        <w:rPr>
          <w:color w:val="auto"/>
          <w:sz w:val="28"/>
          <w:szCs w:val="28"/>
        </w:rPr>
        <w:t>2</w:t>
      </w:r>
      <w:r w:rsidRPr="00626F80">
        <w:rPr>
          <w:color w:val="auto"/>
          <w:sz w:val="28"/>
          <w:szCs w:val="28"/>
        </w:rPr>
        <w:t>.</w:t>
      </w:r>
      <w:r w:rsidR="00857BE1">
        <w:rPr>
          <w:color w:val="auto"/>
          <w:sz w:val="28"/>
          <w:szCs w:val="28"/>
        </w:rPr>
        <w:t>1</w:t>
      </w:r>
      <w:r w:rsidRPr="00626F80">
        <w:rPr>
          <w:color w:val="auto"/>
          <w:sz w:val="28"/>
          <w:szCs w:val="28"/>
        </w:rPr>
        <w:t xml:space="preserve"> «</w:t>
      </w:r>
      <w:r w:rsidR="00857BE1">
        <w:rPr>
          <w:color w:val="auto"/>
          <w:sz w:val="28"/>
          <w:szCs w:val="28"/>
        </w:rPr>
        <w:t>Поддержка технического состояния жилищного фонда</w:t>
      </w:r>
      <w:r w:rsidRPr="00626F80">
        <w:rPr>
          <w:color w:val="auto"/>
          <w:sz w:val="28"/>
          <w:szCs w:val="28"/>
        </w:rPr>
        <w:t>»</w:t>
      </w:r>
      <w:r w:rsidRPr="00626F80">
        <w:rPr>
          <w:color w:val="auto"/>
        </w:rPr>
        <w:t xml:space="preserve"> </w:t>
      </w:r>
      <w:r w:rsidRPr="00626F80">
        <w:rPr>
          <w:color w:val="auto"/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Нефтеюганска </w:t>
      </w:r>
      <w:r w:rsidR="00777E33" w:rsidRPr="00626F80">
        <w:rPr>
          <w:color w:val="auto"/>
          <w:sz w:val="28"/>
          <w:szCs w:val="28"/>
        </w:rPr>
        <w:t>у</w:t>
      </w:r>
      <w:r w:rsidR="00180315">
        <w:rPr>
          <w:color w:val="auto"/>
          <w:sz w:val="28"/>
          <w:szCs w:val="28"/>
        </w:rPr>
        <w:t>велич</w:t>
      </w:r>
      <w:r w:rsidR="00BD08FA" w:rsidRPr="00626F80">
        <w:rPr>
          <w:color w:val="auto"/>
          <w:sz w:val="28"/>
          <w:szCs w:val="28"/>
        </w:rPr>
        <w:t>ить средства</w:t>
      </w:r>
      <w:r w:rsidR="00180315">
        <w:rPr>
          <w:color w:val="auto"/>
          <w:sz w:val="28"/>
          <w:szCs w:val="28"/>
        </w:rPr>
        <w:t xml:space="preserve"> местного</w:t>
      </w:r>
      <w:r w:rsidR="00BD08FA" w:rsidRPr="00626F80">
        <w:rPr>
          <w:color w:val="auto"/>
          <w:sz w:val="28"/>
          <w:szCs w:val="28"/>
        </w:rPr>
        <w:t xml:space="preserve"> бюджета </w:t>
      </w:r>
      <w:r w:rsidR="00777E33" w:rsidRPr="00626F80">
        <w:rPr>
          <w:color w:val="auto"/>
          <w:sz w:val="28"/>
          <w:szCs w:val="28"/>
        </w:rPr>
        <w:t xml:space="preserve">в </w:t>
      </w:r>
      <w:r w:rsidRPr="00626F80">
        <w:rPr>
          <w:color w:val="auto"/>
          <w:sz w:val="28"/>
          <w:szCs w:val="28"/>
        </w:rPr>
        <w:t xml:space="preserve">сумме </w:t>
      </w:r>
      <w:r w:rsidR="00857BE1">
        <w:rPr>
          <w:color w:val="auto"/>
          <w:sz w:val="28"/>
          <w:szCs w:val="28"/>
        </w:rPr>
        <w:t>4 751,864</w:t>
      </w:r>
      <w:r w:rsidR="00777E33" w:rsidRPr="00626F80">
        <w:rPr>
          <w:color w:val="auto"/>
          <w:sz w:val="28"/>
          <w:szCs w:val="28"/>
        </w:rPr>
        <w:t xml:space="preserve"> тыс. </w:t>
      </w:r>
      <w:r w:rsidR="00777E33" w:rsidRPr="00027D5C">
        <w:rPr>
          <w:color w:val="auto"/>
          <w:sz w:val="28"/>
          <w:szCs w:val="28"/>
        </w:rPr>
        <w:t>рублей</w:t>
      </w:r>
      <w:r w:rsidR="00180315" w:rsidRPr="00027D5C">
        <w:rPr>
          <w:color w:val="auto"/>
          <w:sz w:val="28"/>
          <w:szCs w:val="28"/>
        </w:rPr>
        <w:t xml:space="preserve"> на </w:t>
      </w:r>
      <w:r w:rsidR="00027D5C">
        <w:rPr>
          <w:color w:val="auto"/>
          <w:sz w:val="28"/>
          <w:szCs w:val="28"/>
        </w:rPr>
        <w:t xml:space="preserve">содержание </w:t>
      </w:r>
      <w:r w:rsidR="005651A6">
        <w:rPr>
          <w:color w:val="auto"/>
          <w:sz w:val="28"/>
          <w:szCs w:val="28"/>
        </w:rPr>
        <w:t>жилых помещений (</w:t>
      </w:r>
      <w:r w:rsidR="005651A6" w:rsidRPr="00027D5C">
        <w:rPr>
          <w:color w:val="auto"/>
          <w:sz w:val="28"/>
          <w:szCs w:val="28"/>
        </w:rPr>
        <w:t>жилищные и коммунальные услуги</w:t>
      </w:r>
      <w:r w:rsidR="005651A6">
        <w:rPr>
          <w:color w:val="auto"/>
          <w:sz w:val="28"/>
          <w:szCs w:val="28"/>
        </w:rPr>
        <w:t>)</w:t>
      </w:r>
      <w:r w:rsidR="005651A6" w:rsidRPr="00027D5C">
        <w:rPr>
          <w:color w:val="auto"/>
          <w:sz w:val="28"/>
          <w:szCs w:val="28"/>
        </w:rPr>
        <w:t xml:space="preserve"> </w:t>
      </w:r>
      <w:r w:rsidR="005651A6">
        <w:rPr>
          <w:color w:val="auto"/>
          <w:sz w:val="28"/>
          <w:szCs w:val="28"/>
        </w:rPr>
        <w:t>за приобретённые в муниципальную собственность и нераспределённые квартиры</w:t>
      </w:r>
      <w:r w:rsidR="00180315" w:rsidRPr="00027D5C">
        <w:rPr>
          <w:color w:val="auto"/>
          <w:sz w:val="28"/>
          <w:szCs w:val="28"/>
        </w:rPr>
        <w:t>.</w:t>
      </w:r>
      <w:r w:rsidR="00B958E8">
        <w:rPr>
          <w:color w:val="auto"/>
          <w:sz w:val="28"/>
          <w:szCs w:val="28"/>
        </w:rPr>
        <w:t xml:space="preserve"> Согласно пояснительной записке по состоянию на 20.05.2020 года остаются свободными 297 квартир. </w:t>
      </w:r>
      <w:r w:rsidR="00085049">
        <w:rPr>
          <w:color w:val="auto"/>
          <w:sz w:val="28"/>
          <w:szCs w:val="28"/>
        </w:rPr>
        <w:t>Указанная сумма услуг на содержание произведена из расчёта 160 свободных помещений.</w:t>
      </w:r>
    </w:p>
    <w:p w:rsidR="00BD08FA" w:rsidRPr="00626F80" w:rsidRDefault="00BD08FA" w:rsidP="00A87032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751201" w:rsidRPr="00626F80">
        <w:rPr>
          <w:color w:val="auto"/>
          <w:sz w:val="28"/>
          <w:szCs w:val="28"/>
        </w:rPr>
        <w:t>3</w:t>
      </w:r>
      <w:r w:rsidR="00180315">
        <w:rPr>
          <w:color w:val="auto"/>
          <w:sz w:val="28"/>
          <w:szCs w:val="28"/>
        </w:rPr>
        <w:t>.</w:t>
      </w:r>
      <w:r w:rsidR="00180315" w:rsidRPr="00626F80">
        <w:rPr>
          <w:color w:val="auto"/>
          <w:sz w:val="28"/>
          <w:szCs w:val="28"/>
        </w:rPr>
        <w:t xml:space="preserve">1 </w:t>
      </w:r>
      <w:r w:rsidR="00751201" w:rsidRPr="00626F80">
        <w:rPr>
          <w:color w:val="auto"/>
          <w:sz w:val="28"/>
          <w:szCs w:val="28"/>
        </w:rPr>
        <w:t>«</w:t>
      </w:r>
      <w:r w:rsidR="00180315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="00751201" w:rsidRPr="00626F80">
        <w:rPr>
          <w:color w:val="auto"/>
          <w:sz w:val="28"/>
          <w:szCs w:val="28"/>
        </w:rPr>
        <w:t xml:space="preserve">» по </w:t>
      </w:r>
      <w:r w:rsidR="00180315">
        <w:rPr>
          <w:color w:val="auto"/>
          <w:sz w:val="28"/>
          <w:szCs w:val="28"/>
        </w:rPr>
        <w:t>со</w:t>
      </w:r>
      <w:r w:rsidR="00751201" w:rsidRPr="00626F80">
        <w:rPr>
          <w:color w:val="auto"/>
          <w:sz w:val="28"/>
          <w:szCs w:val="28"/>
        </w:rPr>
        <w:t xml:space="preserve">исполнителю департаменту </w:t>
      </w:r>
      <w:r w:rsidR="00180315">
        <w:rPr>
          <w:color w:val="auto"/>
          <w:sz w:val="28"/>
          <w:szCs w:val="28"/>
        </w:rPr>
        <w:t xml:space="preserve">образования и молодёжной политики </w:t>
      </w:r>
      <w:r w:rsidR="00751201" w:rsidRPr="00626F80">
        <w:rPr>
          <w:color w:val="auto"/>
          <w:sz w:val="28"/>
          <w:szCs w:val="28"/>
        </w:rPr>
        <w:lastRenderedPageBreak/>
        <w:t xml:space="preserve">администрации города </w:t>
      </w:r>
      <w:r w:rsidR="00180315" w:rsidRPr="00276D82">
        <w:rPr>
          <w:color w:val="auto"/>
          <w:sz w:val="28"/>
          <w:szCs w:val="28"/>
        </w:rPr>
        <w:t>увеличить</w:t>
      </w:r>
      <w:r w:rsidR="00751201" w:rsidRPr="00276D82">
        <w:rPr>
          <w:color w:val="auto"/>
          <w:sz w:val="28"/>
          <w:szCs w:val="28"/>
        </w:rPr>
        <w:t xml:space="preserve"> средства местного бюджета в сумме </w:t>
      </w:r>
      <w:r w:rsidR="004F6037" w:rsidRPr="00276D82">
        <w:rPr>
          <w:color w:val="auto"/>
          <w:sz w:val="28"/>
          <w:szCs w:val="28"/>
        </w:rPr>
        <w:t>90,000</w:t>
      </w:r>
      <w:r w:rsidR="00751201" w:rsidRPr="00276D82">
        <w:rPr>
          <w:color w:val="auto"/>
          <w:sz w:val="28"/>
          <w:szCs w:val="28"/>
        </w:rPr>
        <w:t xml:space="preserve"> тыс. </w:t>
      </w:r>
      <w:r w:rsidR="00276D82">
        <w:rPr>
          <w:color w:val="auto"/>
          <w:sz w:val="28"/>
          <w:szCs w:val="28"/>
        </w:rPr>
        <w:t xml:space="preserve"> </w:t>
      </w:r>
      <w:r w:rsidR="00751201" w:rsidRPr="00276D82">
        <w:rPr>
          <w:color w:val="auto"/>
          <w:sz w:val="28"/>
          <w:szCs w:val="28"/>
        </w:rPr>
        <w:t>рублей</w:t>
      </w:r>
      <w:r w:rsidR="00180315" w:rsidRPr="00276D82">
        <w:rPr>
          <w:color w:val="auto"/>
          <w:sz w:val="28"/>
          <w:szCs w:val="28"/>
        </w:rPr>
        <w:t xml:space="preserve"> </w:t>
      </w:r>
      <w:r w:rsidR="00276D82">
        <w:rPr>
          <w:color w:val="auto"/>
          <w:sz w:val="28"/>
          <w:szCs w:val="28"/>
        </w:rPr>
        <w:t xml:space="preserve">  </w:t>
      </w:r>
      <w:r w:rsidR="00180315" w:rsidRPr="00276D82">
        <w:rPr>
          <w:color w:val="auto"/>
          <w:sz w:val="28"/>
          <w:szCs w:val="28"/>
        </w:rPr>
        <w:t xml:space="preserve">на поставку </w:t>
      </w:r>
      <w:r w:rsidR="00276D82" w:rsidRPr="00276D82">
        <w:rPr>
          <w:color w:val="auto"/>
          <w:sz w:val="28"/>
          <w:szCs w:val="28"/>
        </w:rPr>
        <w:t>светодиодных светильников для МБОУ «СОШ №</w:t>
      </w:r>
      <w:r w:rsidR="00276D82">
        <w:rPr>
          <w:color w:val="auto"/>
          <w:sz w:val="28"/>
          <w:szCs w:val="28"/>
        </w:rPr>
        <w:t xml:space="preserve"> </w:t>
      </w:r>
      <w:r w:rsidR="00276D82" w:rsidRPr="00276D82">
        <w:rPr>
          <w:color w:val="auto"/>
          <w:sz w:val="28"/>
          <w:szCs w:val="28"/>
        </w:rPr>
        <w:t>2 им.</w:t>
      </w:r>
      <w:r w:rsidR="00276D82">
        <w:rPr>
          <w:color w:val="auto"/>
          <w:sz w:val="28"/>
          <w:szCs w:val="28"/>
        </w:rPr>
        <w:t xml:space="preserve"> </w:t>
      </w:r>
      <w:r w:rsidR="00276D82" w:rsidRPr="00276D82">
        <w:rPr>
          <w:color w:val="auto"/>
          <w:sz w:val="28"/>
          <w:szCs w:val="28"/>
        </w:rPr>
        <w:t>А.И.</w:t>
      </w:r>
      <w:r w:rsidR="00276D82">
        <w:rPr>
          <w:color w:val="auto"/>
          <w:sz w:val="28"/>
          <w:szCs w:val="28"/>
        </w:rPr>
        <w:t xml:space="preserve"> </w:t>
      </w:r>
      <w:r w:rsidR="00276D82" w:rsidRPr="00276D82">
        <w:rPr>
          <w:color w:val="auto"/>
          <w:sz w:val="28"/>
          <w:szCs w:val="28"/>
        </w:rPr>
        <w:t>Исаевой».</w:t>
      </w:r>
    </w:p>
    <w:p w:rsidR="004F6037" w:rsidRDefault="004F6037" w:rsidP="00180315">
      <w:pPr>
        <w:ind w:firstLine="709"/>
        <w:jc w:val="both"/>
        <w:rPr>
          <w:color w:val="auto"/>
          <w:sz w:val="28"/>
          <w:szCs w:val="28"/>
        </w:rPr>
      </w:pPr>
      <w:r w:rsidRPr="004F6037">
        <w:rPr>
          <w:color w:val="auto"/>
          <w:sz w:val="28"/>
          <w:szCs w:val="28"/>
        </w:rPr>
        <w:t>- 4.1 «</w:t>
      </w:r>
      <w:r w:rsidR="000E60F8">
        <w:rPr>
          <w:color w:val="auto"/>
          <w:sz w:val="28"/>
          <w:szCs w:val="28"/>
        </w:rPr>
        <w:t xml:space="preserve">Улучшение санитарного состояния </w:t>
      </w:r>
      <w:r w:rsidRPr="004F6037">
        <w:rPr>
          <w:color w:val="auto"/>
          <w:sz w:val="28"/>
          <w:szCs w:val="28"/>
        </w:rPr>
        <w:t>город</w:t>
      </w:r>
      <w:r w:rsidR="000E60F8">
        <w:rPr>
          <w:color w:val="auto"/>
          <w:sz w:val="28"/>
          <w:szCs w:val="28"/>
        </w:rPr>
        <w:t>ских территорий</w:t>
      </w:r>
      <w:r w:rsidRPr="004F6037">
        <w:rPr>
          <w:color w:val="auto"/>
          <w:sz w:val="28"/>
          <w:szCs w:val="28"/>
        </w:rPr>
        <w:t xml:space="preserve">» по ответственному исполнителю департаменту жилищно-коммунального хозяйства администрации города Нефтеюганска увеличить расходы местного бюджета в сумме </w:t>
      </w:r>
      <w:r w:rsidR="000E60F8">
        <w:rPr>
          <w:color w:val="auto"/>
          <w:sz w:val="28"/>
          <w:szCs w:val="28"/>
        </w:rPr>
        <w:t xml:space="preserve">299,758 </w:t>
      </w:r>
      <w:r w:rsidRPr="004F6037">
        <w:rPr>
          <w:color w:val="auto"/>
          <w:sz w:val="28"/>
          <w:szCs w:val="28"/>
        </w:rPr>
        <w:t xml:space="preserve">тыс. </w:t>
      </w:r>
      <w:r w:rsidRPr="00F536DF">
        <w:rPr>
          <w:color w:val="auto"/>
          <w:sz w:val="28"/>
          <w:szCs w:val="28"/>
        </w:rPr>
        <w:t>рублей</w:t>
      </w:r>
      <w:r w:rsidR="00F536DF" w:rsidRPr="00F536DF">
        <w:rPr>
          <w:color w:val="auto"/>
          <w:sz w:val="28"/>
          <w:szCs w:val="28"/>
        </w:rPr>
        <w:t xml:space="preserve"> </w:t>
      </w:r>
      <w:r w:rsidR="00586EE8">
        <w:rPr>
          <w:color w:val="auto"/>
          <w:sz w:val="28"/>
          <w:szCs w:val="28"/>
        </w:rPr>
        <w:t>для</w:t>
      </w:r>
      <w:r w:rsidR="00F536DF" w:rsidRPr="00F536DF">
        <w:rPr>
          <w:color w:val="auto"/>
          <w:sz w:val="28"/>
          <w:szCs w:val="28"/>
        </w:rPr>
        <w:t xml:space="preserve"> организации и проведени</w:t>
      </w:r>
      <w:r w:rsidR="00586EE8">
        <w:rPr>
          <w:color w:val="auto"/>
          <w:sz w:val="28"/>
          <w:szCs w:val="28"/>
        </w:rPr>
        <w:t xml:space="preserve">я </w:t>
      </w:r>
      <w:r w:rsidR="00F536DF" w:rsidRPr="00F536DF">
        <w:rPr>
          <w:color w:val="auto"/>
          <w:sz w:val="28"/>
          <w:szCs w:val="28"/>
        </w:rPr>
        <w:t>общегородского субботника по санитарной очистке территории города</w:t>
      </w:r>
      <w:r w:rsidR="00586EE8">
        <w:rPr>
          <w:color w:val="auto"/>
          <w:sz w:val="28"/>
          <w:szCs w:val="28"/>
        </w:rPr>
        <w:t xml:space="preserve"> (</w:t>
      </w:r>
      <w:r w:rsidR="005B3EEA">
        <w:rPr>
          <w:color w:val="auto"/>
          <w:sz w:val="28"/>
          <w:szCs w:val="28"/>
        </w:rPr>
        <w:t xml:space="preserve">обращение с </w:t>
      </w:r>
      <w:r w:rsidR="00586EE8">
        <w:rPr>
          <w:color w:val="auto"/>
          <w:sz w:val="28"/>
          <w:szCs w:val="28"/>
        </w:rPr>
        <w:t>ТКО)</w:t>
      </w:r>
      <w:r w:rsidR="00F536DF">
        <w:rPr>
          <w:color w:val="auto"/>
          <w:sz w:val="28"/>
          <w:szCs w:val="28"/>
        </w:rPr>
        <w:t>.</w:t>
      </w:r>
    </w:p>
    <w:p w:rsidR="004B76A9" w:rsidRPr="00977E66" w:rsidRDefault="00180315" w:rsidP="00180315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4B76A9" w:rsidRPr="004B76A9">
        <w:rPr>
          <w:color w:val="auto"/>
          <w:sz w:val="28"/>
          <w:szCs w:val="28"/>
        </w:rPr>
        <w:t>4.</w:t>
      </w:r>
      <w:r w:rsidR="004F6037">
        <w:rPr>
          <w:color w:val="auto"/>
          <w:sz w:val="28"/>
          <w:szCs w:val="28"/>
        </w:rPr>
        <w:t>2</w:t>
      </w:r>
      <w:r w:rsidR="004B76A9" w:rsidRPr="004B76A9">
        <w:rPr>
          <w:color w:val="auto"/>
          <w:sz w:val="28"/>
          <w:szCs w:val="28"/>
        </w:rPr>
        <w:t xml:space="preserve"> «Благоустройство и озеленение города» по ответственному исполнителю департаменту жилищно-коммунального хозяйства администрации города </w:t>
      </w:r>
      <w:r w:rsidR="004B76A9">
        <w:rPr>
          <w:color w:val="auto"/>
          <w:sz w:val="28"/>
          <w:szCs w:val="28"/>
        </w:rPr>
        <w:t>увеличить</w:t>
      </w:r>
      <w:r w:rsidR="004B76A9" w:rsidRPr="004B76A9">
        <w:rPr>
          <w:color w:val="auto"/>
          <w:sz w:val="28"/>
          <w:szCs w:val="28"/>
        </w:rPr>
        <w:t xml:space="preserve"> расходы местного бюджета в сумме </w:t>
      </w:r>
      <w:r w:rsidR="000E60F8">
        <w:rPr>
          <w:color w:val="auto"/>
          <w:sz w:val="28"/>
          <w:szCs w:val="28"/>
        </w:rPr>
        <w:t>544,556</w:t>
      </w:r>
      <w:r w:rsidR="004B76A9" w:rsidRPr="004B76A9">
        <w:rPr>
          <w:color w:val="auto"/>
          <w:sz w:val="28"/>
          <w:szCs w:val="28"/>
        </w:rPr>
        <w:t xml:space="preserve"> тыс. </w:t>
      </w:r>
      <w:r w:rsidR="004B76A9" w:rsidRPr="003835F3">
        <w:rPr>
          <w:color w:val="auto"/>
          <w:sz w:val="28"/>
          <w:szCs w:val="28"/>
        </w:rPr>
        <w:t>рублей</w:t>
      </w:r>
      <w:r w:rsidR="00977E66">
        <w:rPr>
          <w:color w:val="auto"/>
          <w:sz w:val="28"/>
          <w:szCs w:val="28"/>
        </w:rPr>
        <w:t xml:space="preserve"> </w:t>
      </w:r>
      <w:r w:rsidR="0090401F" w:rsidRPr="0090401F">
        <w:rPr>
          <w:color w:val="auto"/>
          <w:sz w:val="28"/>
          <w:szCs w:val="28"/>
        </w:rPr>
        <w:t xml:space="preserve">на оказание услуг по организации и проведению общегородского субботника на территории общего пользования города Нефтеюганска </w:t>
      </w:r>
      <w:r w:rsidR="00977E66">
        <w:rPr>
          <w:color w:val="auto"/>
          <w:sz w:val="28"/>
          <w:szCs w:val="28"/>
        </w:rPr>
        <w:t>(на дост</w:t>
      </w:r>
      <w:r w:rsidR="00B844B2" w:rsidRPr="00977E66">
        <w:rPr>
          <w:color w:val="auto"/>
          <w:sz w:val="28"/>
          <w:szCs w:val="28"/>
        </w:rPr>
        <w:t>авку саженцев</w:t>
      </w:r>
      <w:r w:rsidR="004B76A9" w:rsidRPr="00977E66">
        <w:rPr>
          <w:color w:val="auto"/>
          <w:sz w:val="28"/>
          <w:szCs w:val="28"/>
        </w:rPr>
        <w:t xml:space="preserve"> </w:t>
      </w:r>
      <w:r w:rsidR="00977E66">
        <w:rPr>
          <w:color w:val="auto"/>
          <w:sz w:val="28"/>
          <w:szCs w:val="28"/>
        </w:rPr>
        <w:t xml:space="preserve">в сумме </w:t>
      </w:r>
      <w:r w:rsidR="003835F3" w:rsidRPr="00977E66">
        <w:rPr>
          <w:color w:val="auto"/>
          <w:sz w:val="28"/>
          <w:szCs w:val="28"/>
        </w:rPr>
        <w:t>244,557</w:t>
      </w:r>
      <w:r w:rsidR="004B76A9" w:rsidRPr="00977E66">
        <w:rPr>
          <w:color w:val="auto"/>
          <w:sz w:val="28"/>
          <w:szCs w:val="28"/>
        </w:rPr>
        <w:t xml:space="preserve"> тыс. рублей</w:t>
      </w:r>
      <w:r w:rsidR="00977E66">
        <w:rPr>
          <w:color w:val="auto"/>
          <w:sz w:val="28"/>
          <w:szCs w:val="28"/>
        </w:rPr>
        <w:t xml:space="preserve"> и торфа </w:t>
      </w:r>
      <w:r w:rsidR="004B76A9" w:rsidRPr="00977E66">
        <w:rPr>
          <w:color w:val="auto"/>
          <w:sz w:val="28"/>
          <w:szCs w:val="28"/>
        </w:rPr>
        <w:t xml:space="preserve">в сумме </w:t>
      </w:r>
      <w:r w:rsidR="00977E66">
        <w:rPr>
          <w:color w:val="auto"/>
          <w:sz w:val="28"/>
          <w:szCs w:val="28"/>
        </w:rPr>
        <w:t>299,</w:t>
      </w:r>
      <w:r w:rsidR="0090401F">
        <w:rPr>
          <w:color w:val="auto"/>
          <w:sz w:val="28"/>
          <w:szCs w:val="28"/>
        </w:rPr>
        <w:t>999 тыс. рублей).</w:t>
      </w:r>
    </w:p>
    <w:p w:rsidR="000E60F8" w:rsidRDefault="000E60F8" w:rsidP="005F720D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Pr="000E60F8">
        <w:rPr>
          <w:sz w:val="28"/>
          <w:szCs w:val="28"/>
        </w:rPr>
        <w:t>.1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0E60F8">
        <w:rPr>
          <w:sz w:val="28"/>
          <w:szCs w:val="28"/>
        </w:rPr>
        <w:t xml:space="preserve">» по ответственному исполнителю департаменту жилищно-коммунального хозяйства </w:t>
      </w:r>
      <w:r w:rsidRPr="00F536DF">
        <w:rPr>
          <w:sz w:val="28"/>
          <w:szCs w:val="28"/>
        </w:rPr>
        <w:t>администрации города увеличить расходы местного бюджета в сумме 4 097,235 тыс. рублей</w:t>
      </w:r>
      <w:r w:rsidR="00F536DF" w:rsidRPr="00F536DF">
        <w:rPr>
          <w:sz w:val="28"/>
          <w:szCs w:val="28"/>
        </w:rPr>
        <w:t>, в том числе</w:t>
      </w:r>
      <w:r w:rsidRPr="00F536DF">
        <w:rPr>
          <w:sz w:val="28"/>
          <w:szCs w:val="28"/>
        </w:rPr>
        <w:t>:</w:t>
      </w:r>
    </w:p>
    <w:p w:rsidR="00F536DF" w:rsidRDefault="00F536DF" w:rsidP="00F536DF">
      <w:pPr>
        <w:spacing w:line="247" w:lineRule="auto"/>
        <w:ind w:firstLine="709"/>
        <w:jc w:val="both"/>
        <w:rPr>
          <w:sz w:val="28"/>
          <w:szCs w:val="28"/>
        </w:rPr>
      </w:pPr>
      <w:r w:rsidRPr="00F536DF">
        <w:rPr>
          <w:sz w:val="28"/>
          <w:szCs w:val="28"/>
        </w:rPr>
        <w:t>- увеличение на сумму 967,300 тыс.</w:t>
      </w:r>
      <w:r>
        <w:rPr>
          <w:sz w:val="28"/>
          <w:szCs w:val="28"/>
        </w:rPr>
        <w:t xml:space="preserve"> </w:t>
      </w:r>
      <w:r w:rsidRPr="00F536DF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 w:rsidRPr="00F536DF">
        <w:rPr>
          <w:sz w:val="28"/>
          <w:szCs w:val="28"/>
        </w:rPr>
        <w:t>на арендную плату за пользованием имуществом, оплату услуг по техническому обслуживанию и ремонту движимого имущества, на договор</w:t>
      </w:r>
      <w:r w:rsidR="002305ED">
        <w:rPr>
          <w:sz w:val="28"/>
          <w:szCs w:val="28"/>
        </w:rPr>
        <w:t>ы</w:t>
      </w:r>
      <w:r w:rsidRPr="00F536DF">
        <w:rPr>
          <w:sz w:val="28"/>
          <w:szCs w:val="28"/>
        </w:rPr>
        <w:t xml:space="preserve"> </w:t>
      </w:r>
      <w:r w:rsidR="002305ED">
        <w:rPr>
          <w:sz w:val="28"/>
          <w:szCs w:val="28"/>
        </w:rPr>
        <w:t>страхования</w:t>
      </w:r>
      <w:r w:rsidRPr="00F536DF">
        <w:rPr>
          <w:sz w:val="28"/>
          <w:szCs w:val="28"/>
        </w:rPr>
        <w:t xml:space="preserve"> жизни, здоровья и имущества, на горюче-смазочные материалы, на мягкий инвентарь, на прочие оборотные запасы (материалы), на налоги, пошлины и сборы в связи с приобретением департаментом муниципального имущества техники и передачи в оперативное управление в НГ МКУ «Реквием»</w:t>
      </w:r>
      <w:r w:rsidR="002305ED">
        <w:rPr>
          <w:sz w:val="28"/>
          <w:szCs w:val="28"/>
        </w:rPr>
        <w:t xml:space="preserve"> (</w:t>
      </w:r>
      <w:r w:rsidRPr="00F536DF">
        <w:rPr>
          <w:sz w:val="28"/>
          <w:szCs w:val="28"/>
        </w:rPr>
        <w:t xml:space="preserve">погрузчик фронтальный одноковшовый, машина бурильно-крановая, </w:t>
      </w:r>
      <w:proofErr w:type="spellStart"/>
      <w:r w:rsidRPr="00F536DF">
        <w:rPr>
          <w:sz w:val="28"/>
          <w:szCs w:val="28"/>
        </w:rPr>
        <w:t>Ford</w:t>
      </w:r>
      <w:proofErr w:type="spellEnd"/>
      <w:r w:rsidRPr="00F536DF">
        <w:rPr>
          <w:sz w:val="28"/>
          <w:szCs w:val="28"/>
        </w:rPr>
        <w:t xml:space="preserve"> </w:t>
      </w:r>
      <w:proofErr w:type="spellStart"/>
      <w:r w:rsidRPr="00F536DF">
        <w:rPr>
          <w:sz w:val="28"/>
          <w:szCs w:val="28"/>
        </w:rPr>
        <w:t>Transit</w:t>
      </w:r>
      <w:proofErr w:type="spellEnd"/>
      <w:r w:rsidRPr="00F536DF">
        <w:rPr>
          <w:sz w:val="28"/>
          <w:szCs w:val="28"/>
        </w:rPr>
        <w:t xml:space="preserve"> L3H3</w:t>
      </w:r>
      <w:r w:rsidR="002305ED">
        <w:rPr>
          <w:sz w:val="28"/>
          <w:szCs w:val="28"/>
        </w:rPr>
        <w:t>)</w:t>
      </w:r>
      <w:r w:rsidR="00A54ACA">
        <w:rPr>
          <w:sz w:val="28"/>
          <w:szCs w:val="28"/>
        </w:rPr>
        <w:t>.</w:t>
      </w:r>
    </w:p>
    <w:p w:rsidR="00A54ACA" w:rsidRPr="009328C6" w:rsidRDefault="00F536DF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 w:rsidRPr="00F536DF">
        <w:rPr>
          <w:sz w:val="28"/>
          <w:szCs w:val="28"/>
        </w:rPr>
        <w:t>- увеличение на сумму 39,150 тыс.</w:t>
      </w:r>
      <w:r>
        <w:rPr>
          <w:sz w:val="28"/>
          <w:szCs w:val="28"/>
        </w:rPr>
        <w:t xml:space="preserve"> </w:t>
      </w:r>
      <w:r w:rsidRPr="00F536DF">
        <w:rPr>
          <w:sz w:val="28"/>
          <w:szCs w:val="28"/>
        </w:rPr>
        <w:t>руб</w:t>
      </w:r>
      <w:r>
        <w:rPr>
          <w:sz w:val="28"/>
          <w:szCs w:val="28"/>
        </w:rPr>
        <w:t xml:space="preserve">лей </w:t>
      </w:r>
      <w:r w:rsidRPr="00F536DF">
        <w:rPr>
          <w:sz w:val="28"/>
          <w:szCs w:val="28"/>
        </w:rPr>
        <w:t>на приобретение оборудования (</w:t>
      </w:r>
      <w:r w:rsidRPr="009328C6">
        <w:rPr>
          <w:color w:val="auto"/>
          <w:sz w:val="28"/>
          <w:szCs w:val="28"/>
        </w:rPr>
        <w:t>планшета) для аппарата департамента ЖКХ</w:t>
      </w:r>
      <w:r w:rsidR="00A54ACA" w:rsidRPr="009328C6">
        <w:rPr>
          <w:color w:val="auto"/>
          <w:sz w:val="28"/>
          <w:szCs w:val="28"/>
        </w:rPr>
        <w:t>.</w:t>
      </w:r>
    </w:p>
    <w:p w:rsidR="00F536DF" w:rsidRPr="009328C6" w:rsidRDefault="00F536DF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 w:rsidRPr="009328C6">
        <w:rPr>
          <w:color w:val="auto"/>
          <w:sz w:val="28"/>
          <w:szCs w:val="28"/>
        </w:rPr>
        <w:t>-</w:t>
      </w:r>
      <w:r w:rsidR="008F525B">
        <w:rPr>
          <w:color w:val="auto"/>
          <w:sz w:val="28"/>
          <w:szCs w:val="28"/>
        </w:rPr>
        <w:t xml:space="preserve"> </w:t>
      </w:r>
      <w:r w:rsidRPr="009328C6">
        <w:rPr>
          <w:color w:val="auto"/>
          <w:sz w:val="28"/>
          <w:szCs w:val="28"/>
        </w:rPr>
        <w:t>увеличение на сумму 3 120,785 тыс. рублей на оказания услуг по расч</w:t>
      </w:r>
      <w:r w:rsidR="002305ED" w:rsidRPr="009328C6">
        <w:rPr>
          <w:color w:val="auto"/>
          <w:sz w:val="28"/>
          <w:szCs w:val="28"/>
        </w:rPr>
        <w:t>ё</w:t>
      </w:r>
      <w:r w:rsidRPr="009328C6">
        <w:rPr>
          <w:color w:val="auto"/>
          <w:sz w:val="28"/>
          <w:szCs w:val="28"/>
        </w:rPr>
        <w:t>ту норматива накопления твердых коммунальных отходов для муниципального образования город Нефтеюганск, в соответствии с методикой, утвержд</w:t>
      </w:r>
      <w:r w:rsidR="002305ED" w:rsidRPr="009328C6">
        <w:rPr>
          <w:color w:val="auto"/>
          <w:sz w:val="28"/>
          <w:szCs w:val="28"/>
        </w:rPr>
        <w:t>ё</w:t>
      </w:r>
      <w:r w:rsidRPr="009328C6">
        <w:rPr>
          <w:color w:val="auto"/>
          <w:sz w:val="28"/>
          <w:szCs w:val="28"/>
        </w:rPr>
        <w:t>нной постановлением Правительства Российской Федерации от 04.04.2016 №269 «Об определении нормативов накопления твердых коммунальных отходов»</w:t>
      </w:r>
      <w:r w:rsidR="00A54ACA" w:rsidRPr="009328C6">
        <w:rPr>
          <w:color w:val="auto"/>
          <w:sz w:val="28"/>
          <w:szCs w:val="28"/>
        </w:rPr>
        <w:t>.</w:t>
      </w:r>
    </w:p>
    <w:p w:rsidR="00A54ACA" w:rsidRPr="009328C6" w:rsidRDefault="00A54ACA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 w:rsidRPr="009328C6">
        <w:rPr>
          <w:color w:val="auto"/>
          <w:sz w:val="28"/>
          <w:szCs w:val="28"/>
        </w:rPr>
        <w:t>Касательно вышеуказанного мероприятия сообща</w:t>
      </w:r>
      <w:r w:rsidR="008F525B">
        <w:rPr>
          <w:color w:val="auto"/>
          <w:sz w:val="28"/>
          <w:szCs w:val="28"/>
        </w:rPr>
        <w:t>ем</w:t>
      </w:r>
      <w:r w:rsidRPr="009328C6">
        <w:rPr>
          <w:color w:val="auto"/>
          <w:sz w:val="28"/>
          <w:szCs w:val="28"/>
        </w:rPr>
        <w:t xml:space="preserve"> следующее.</w:t>
      </w:r>
    </w:p>
    <w:p w:rsidR="00C54DCD" w:rsidRDefault="00C54DCD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частью 3 статьи 2 </w:t>
      </w:r>
      <w:r w:rsidRPr="00C54DCD">
        <w:rPr>
          <w:color w:val="auto"/>
          <w:sz w:val="28"/>
          <w:szCs w:val="28"/>
        </w:rPr>
        <w:t>Закон</w:t>
      </w:r>
      <w:r>
        <w:rPr>
          <w:color w:val="auto"/>
          <w:sz w:val="28"/>
          <w:szCs w:val="28"/>
        </w:rPr>
        <w:t>а</w:t>
      </w:r>
      <w:r w:rsidRPr="00C54DCD">
        <w:rPr>
          <w:color w:val="auto"/>
          <w:sz w:val="28"/>
          <w:szCs w:val="28"/>
        </w:rPr>
        <w:t xml:space="preserve"> Ханты-Мансийского автономного округа - Югры от 17</w:t>
      </w:r>
      <w:r>
        <w:rPr>
          <w:color w:val="auto"/>
          <w:sz w:val="28"/>
          <w:szCs w:val="28"/>
        </w:rPr>
        <w:t>.11.</w:t>
      </w:r>
      <w:r w:rsidRPr="00C54DCD">
        <w:rPr>
          <w:color w:val="auto"/>
          <w:sz w:val="28"/>
          <w:szCs w:val="28"/>
        </w:rPr>
        <w:t xml:space="preserve">2016 </w:t>
      </w:r>
      <w:r>
        <w:rPr>
          <w:color w:val="auto"/>
          <w:sz w:val="28"/>
          <w:szCs w:val="28"/>
        </w:rPr>
        <w:t>№</w:t>
      </w:r>
      <w:r w:rsidRPr="00C54DCD">
        <w:rPr>
          <w:color w:val="auto"/>
          <w:sz w:val="28"/>
          <w:szCs w:val="28"/>
        </w:rPr>
        <w:t xml:space="preserve"> 79-оз </w:t>
      </w:r>
      <w:r>
        <w:rPr>
          <w:color w:val="auto"/>
          <w:sz w:val="28"/>
          <w:szCs w:val="28"/>
        </w:rPr>
        <w:t>«</w:t>
      </w:r>
      <w:r w:rsidRPr="00C54DCD">
        <w:rPr>
          <w:color w:val="auto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</w:t>
      </w:r>
      <w:r>
        <w:rPr>
          <w:color w:val="auto"/>
          <w:sz w:val="28"/>
          <w:szCs w:val="28"/>
        </w:rPr>
        <w:t xml:space="preserve">твердыми коммунальными отходами» </w:t>
      </w:r>
      <w:r w:rsidR="00127C03">
        <w:rPr>
          <w:color w:val="auto"/>
          <w:sz w:val="28"/>
          <w:szCs w:val="28"/>
        </w:rPr>
        <w:t>(далее по тексту – Закон ХМАО-Югры от 17.11.2016 № 79-оз)</w:t>
      </w:r>
      <w:r w:rsidR="000D014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Pr="00C54DCD">
        <w:rPr>
          <w:color w:val="auto"/>
          <w:sz w:val="28"/>
          <w:szCs w:val="28"/>
        </w:rPr>
        <w:t>рганы местного самоуправления городских округов и поселений наделяются отдельным государственным полномочием по установлению нормативов накопления тв</w:t>
      </w:r>
      <w:r w:rsidR="00BF36DA">
        <w:rPr>
          <w:color w:val="auto"/>
          <w:sz w:val="28"/>
          <w:szCs w:val="28"/>
        </w:rPr>
        <w:t>ё</w:t>
      </w:r>
      <w:r w:rsidRPr="00C54DCD">
        <w:rPr>
          <w:color w:val="auto"/>
          <w:sz w:val="28"/>
          <w:szCs w:val="28"/>
        </w:rPr>
        <w:t>рдых коммунальных отходов.</w:t>
      </w:r>
    </w:p>
    <w:p w:rsidR="00127C03" w:rsidRDefault="00127C03" w:rsidP="00BF36DA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Согласно статьи 3</w:t>
      </w:r>
      <w:r w:rsidR="00BF36DA" w:rsidRPr="00BF36DA">
        <w:t xml:space="preserve"> </w:t>
      </w:r>
      <w:r w:rsidR="00BF36DA" w:rsidRPr="00BF36DA">
        <w:rPr>
          <w:color w:val="auto"/>
          <w:sz w:val="28"/>
          <w:szCs w:val="28"/>
        </w:rPr>
        <w:t>Закон</w:t>
      </w:r>
      <w:r w:rsidR="00BF36DA">
        <w:rPr>
          <w:color w:val="auto"/>
          <w:sz w:val="28"/>
          <w:szCs w:val="28"/>
        </w:rPr>
        <w:t>а</w:t>
      </w:r>
      <w:r w:rsidR="00BF36DA" w:rsidRPr="00BF36DA">
        <w:rPr>
          <w:color w:val="auto"/>
          <w:sz w:val="28"/>
          <w:szCs w:val="28"/>
        </w:rPr>
        <w:t xml:space="preserve"> ХМАО-Югры от 17.11.2016 № 79-оз</w:t>
      </w:r>
      <w:r w:rsidRPr="00127C03">
        <w:rPr>
          <w:color w:val="auto"/>
          <w:sz w:val="28"/>
          <w:szCs w:val="28"/>
        </w:rPr>
        <w:t xml:space="preserve"> </w:t>
      </w:r>
      <w:r w:rsidR="00BF36DA">
        <w:rPr>
          <w:color w:val="auto"/>
          <w:sz w:val="28"/>
          <w:szCs w:val="28"/>
        </w:rPr>
        <w:t>д</w:t>
      </w:r>
      <w:r w:rsidRPr="00127C03">
        <w:rPr>
          <w:color w:val="auto"/>
          <w:sz w:val="28"/>
          <w:szCs w:val="28"/>
        </w:rPr>
        <w:t xml:space="preserve">ля осуществления переданных органам местного самоуправления отдельных </w:t>
      </w:r>
      <w:r w:rsidRPr="00127C03">
        <w:rPr>
          <w:color w:val="auto"/>
          <w:sz w:val="28"/>
          <w:szCs w:val="28"/>
        </w:rPr>
        <w:lastRenderedPageBreak/>
        <w:t>государственных полномочий бюджетам соответствующих муниципальных образований из бюджета автономного округа предоставляются субвенции в объ</w:t>
      </w:r>
      <w:r w:rsidR="00BF36DA">
        <w:rPr>
          <w:color w:val="auto"/>
          <w:sz w:val="28"/>
          <w:szCs w:val="28"/>
        </w:rPr>
        <w:t>ё</w:t>
      </w:r>
      <w:r w:rsidRPr="00127C03">
        <w:rPr>
          <w:color w:val="auto"/>
          <w:sz w:val="28"/>
          <w:szCs w:val="28"/>
        </w:rPr>
        <w:t>ме, предусмотренном законом о бюджете автономного округа на очередной финансовый год и на плановый период.</w:t>
      </w:r>
    </w:p>
    <w:p w:rsidR="00C54DCD" w:rsidRDefault="00C54DCD" w:rsidP="00C54DCD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Пунктом 1.17 постановления администрации города Нефтеюганска </w:t>
      </w:r>
      <w:r w:rsidRPr="00C54DCD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 xml:space="preserve">  </w:t>
      </w:r>
      <w:r w:rsidRPr="00C54DCD">
        <w:rPr>
          <w:color w:val="auto"/>
          <w:sz w:val="28"/>
          <w:szCs w:val="28"/>
        </w:rPr>
        <w:t>28.02.2019 №</w:t>
      </w:r>
      <w:r>
        <w:rPr>
          <w:color w:val="auto"/>
          <w:sz w:val="28"/>
          <w:szCs w:val="28"/>
        </w:rPr>
        <w:t xml:space="preserve"> 95-п «</w:t>
      </w:r>
      <w:r w:rsidRPr="00C54DCD">
        <w:rPr>
          <w:color w:val="auto"/>
          <w:sz w:val="28"/>
          <w:szCs w:val="28"/>
        </w:rPr>
        <w:t>О реализации администрацией города Нефтеюганска 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>
        <w:rPr>
          <w:color w:val="auto"/>
          <w:sz w:val="28"/>
          <w:szCs w:val="28"/>
        </w:rPr>
        <w:t xml:space="preserve">» </w:t>
      </w:r>
      <w:r w:rsidR="00BD1CD6">
        <w:rPr>
          <w:color w:val="auto"/>
          <w:sz w:val="28"/>
          <w:szCs w:val="28"/>
        </w:rPr>
        <w:t>установлено, что п</w:t>
      </w:r>
      <w:r w:rsidR="00BD1CD6" w:rsidRPr="00BD1CD6">
        <w:rPr>
          <w:color w:val="auto"/>
          <w:sz w:val="28"/>
          <w:szCs w:val="28"/>
        </w:rPr>
        <w:t>олномочия, переданные Законом Ханты-Мансийского автономного округа - Югры от 17.11.2016 № 79-оз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</w:t>
      </w:r>
      <w:r w:rsidR="00BF36DA">
        <w:rPr>
          <w:color w:val="auto"/>
          <w:sz w:val="28"/>
          <w:szCs w:val="28"/>
        </w:rPr>
        <w:t>ё</w:t>
      </w:r>
      <w:r w:rsidR="00BD1CD6" w:rsidRPr="00BD1CD6">
        <w:rPr>
          <w:color w:val="auto"/>
          <w:sz w:val="28"/>
          <w:szCs w:val="28"/>
        </w:rPr>
        <w:t>рдыми коммунальными отходами», осуществляет департамент жилищно-коммунального хозяйства администрации города Нефтеюганска.</w:t>
      </w:r>
    </w:p>
    <w:p w:rsidR="00127C03" w:rsidRDefault="00BF36DA" w:rsidP="00C54DCD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рамках исполнения мероприятия планируются средства местного бюджета.</w:t>
      </w:r>
    </w:p>
    <w:p w:rsidR="00BF36DA" w:rsidRDefault="00BF36DA" w:rsidP="00BF36DA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Вместе с тем, в соответствии со ст</w:t>
      </w:r>
      <w:r w:rsidRPr="00BF36DA">
        <w:rPr>
          <w:color w:val="auto"/>
          <w:sz w:val="28"/>
          <w:szCs w:val="28"/>
        </w:rPr>
        <w:t>ать</w:t>
      </w:r>
      <w:r>
        <w:rPr>
          <w:color w:val="auto"/>
          <w:sz w:val="28"/>
          <w:szCs w:val="28"/>
        </w:rPr>
        <w:t>ёй</w:t>
      </w:r>
      <w:r w:rsidRPr="00BF36DA">
        <w:rPr>
          <w:color w:val="auto"/>
          <w:sz w:val="28"/>
          <w:szCs w:val="28"/>
        </w:rPr>
        <w:t xml:space="preserve"> 6.2</w:t>
      </w:r>
      <w:r>
        <w:rPr>
          <w:color w:val="auto"/>
          <w:sz w:val="28"/>
          <w:szCs w:val="28"/>
        </w:rPr>
        <w:t xml:space="preserve"> Устава города Нефтеюганска:</w:t>
      </w:r>
    </w:p>
    <w:p w:rsidR="00BF36DA" w:rsidRPr="00BF36DA" w:rsidRDefault="00BF36DA" w:rsidP="00BF36DA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ф</w:t>
      </w:r>
      <w:r w:rsidRPr="00BF36DA">
        <w:rPr>
          <w:color w:val="auto"/>
          <w:sz w:val="28"/>
          <w:szCs w:val="28"/>
        </w:rPr>
        <w:t>инансовое обеспечение отдельных государственных полномочий, переданных органам местного самоуправления города Нефтеюганска, осуществляется только за сч</w:t>
      </w:r>
      <w:r w:rsidR="00FE01BF">
        <w:rPr>
          <w:color w:val="auto"/>
          <w:sz w:val="28"/>
          <w:szCs w:val="28"/>
        </w:rPr>
        <w:t>ё</w:t>
      </w:r>
      <w:r w:rsidRPr="00BF36DA">
        <w:rPr>
          <w:color w:val="auto"/>
          <w:sz w:val="28"/>
          <w:szCs w:val="28"/>
        </w:rPr>
        <w:t>т предоставляемых местному бюджету субвенций из соответствующих бюджетов.</w:t>
      </w:r>
    </w:p>
    <w:p w:rsidR="00BF36DA" w:rsidRPr="00BF36DA" w:rsidRDefault="00BF36DA" w:rsidP="00BF36DA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</w:t>
      </w:r>
      <w:r w:rsidRPr="00BF36DA">
        <w:rPr>
          <w:color w:val="auto"/>
          <w:sz w:val="28"/>
          <w:szCs w:val="28"/>
        </w:rPr>
        <w:t>ри недостаточности переданных субвенций из соответствующих бюджетов на осуществление отдельных государственных полномочий, глава администрации города вправе в 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осуществления переданных органам местного самоуправления городского округа отдельных государственных полномочий.</w:t>
      </w:r>
    </w:p>
    <w:p w:rsidR="004B2F97" w:rsidRDefault="004B2F97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Думы города Нефтеюганска о дополнительном использовании собственных финансовых средств для осуществления вышеуказанного полномочия </w:t>
      </w:r>
      <w:r w:rsidR="006F4044">
        <w:rPr>
          <w:color w:val="auto"/>
          <w:sz w:val="28"/>
          <w:szCs w:val="28"/>
        </w:rPr>
        <w:t>отсутствует</w:t>
      </w:r>
      <w:r>
        <w:rPr>
          <w:color w:val="auto"/>
          <w:sz w:val="28"/>
          <w:szCs w:val="28"/>
        </w:rPr>
        <w:t>.</w:t>
      </w:r>
    </w:p>
    <w:p w:rsidR="00C54DCD" w:rsidRPr="00A54ACA" w:rsidRDefault="006F4044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по состоянию на текущую дату правовых оснований для </w:t>
      </w:r>
      <w:r w:rsidR="0091184D">
        <w:rPr>
          <w:color w:val="auto"/>
          <w:sz w:val="28"/>
          <w:szCs w:val="28"/>
        </w:rPr>
        <w:t>расходования</w:t>
      </w:r>
      <w:r>
        <w:rPr>
          <w:color w:val="auto"/>
          <w:sz w:val="28"/>
          <w:szCs w:val="28"/>
        </w:rPr>
        <w:t xml:space="preserve"> средств местного бюджета</w:t>
      </w:r>
      <w:r w:rsidRPr="006F4044">
        <w:rPr>
          <w:color w:val="auto"/>
          <w:sz w:val="28"/>
          <w:szCs w:val="28"/>
        </w:rPr>
        <w:t xml:space="preserve"> на оказани</w:t>
      </w:r>
      <w:r w:rsidR="004D2DA9">
        <w:rPr>
          <w:color w:val="auto"/>
          <w:sz w:val="28"/>
          <w:szCs w:val="28"/>
        </w:rPr>
        <w:t xml:space="preserve">е </w:t>
      </w:r>
      <w:r w:rsidRPr="006F4044">
        <w:rPr>
          <w:color w:val="auto"/>
          <w:sz w:val="28"/>
          <w:szCs w:val="28"/>
        </w:rPr>
        <w:t>услуг по расчёту норматива накопления тв</w:t>
      </w:r>
      <w:r w:rsidR="0091184D">
        <w:rPr>
          <w:color w:val="auto"/>
          <w:sz w:val="28"/>
          <w:szCs w:val="28"/>
        </w:rPr>
        <w:t>ё</w:t>
      </w:r>
      <w:r w:rsidRPr="006F4044">
        <w:rPr>
          <w:color w:val="auto"/>
          <w:sz w:val="28"/>
          <w:szCs w:val="28"/>
        </w:rPr>
        <w:t>рдых коммунальных отходов для муниципального образования город Нефтеюганск</w:t>
      </w:r>
      <w:r w:rsidR="004D2DA9">
        <w:rPr>
          <w:color w:val="auto"/>
          <w:sz w:val="28"/>
          <w:szCs w:val="28"/>
        </w:rPr>
        <w:t xml:space="preserve"> нет.</w:t>
      </w:r>
      <w:r>
        <w:rPr>
          <w:color w:val="auto"/>
          <w:sz w:val="28"/>
          <w:szCs w:val="28"/>
        </w:rPr>
        <w:t xml:space="preserve">  </w:t>
      </w:r>
      <w:r w:rsidR="004B2F97">
        <w:rPr>
          <w:color w:val="auto"/>
          <w:sz w:val="28"/>
          <w:szCs w:val="28"/>
        </w:rPr>
        <w:t xml:space="preserve">Рекомендуем </w:t>
      </w:r>
      <w:r w:rsidR="0091184D">
        <w:rPr>
          <w:color w:val="auto"/>
          <w:sz w:val="28"/>
          <w:szCs w:val="28"/>
        </w:rPr>
        <w:t>расходовать средства местного бюджета после принятия правового акта.</w:t>
      </w:r>
    </w:p>
    <w:p w:rsidR="00F536DF" w:rsidRPr="00F536DF" w:rsidRDefault="00F536DF" w:rsidP="00F536DF">
      <w:pPr>
        <w:spacing w:line="247" w:lineRule="auto"/>
        <w:ind w:firstLine="709"/>
        <w:jc w:val="both"/>
        <w:rPr>
          <w:sz w:val="28"/>
          <w:szCs w:val="28"/>
        </w:rPr>
      </w:pPr>
      <w:r w:rsidRPr="00F536DF">
        <w:rPr>
          <w:sz w:val="28"/>
          <w:szCs w:val="28"/>
        </w:rPr>
        <w:t>- уменьшение на сумму 30,000 тыс.</w:t>
      </w:r>
      <w:r>
        <w:rPr>
          <w:sz w:val="28"/>
          <w:szCs w:val="28"/>
        </w:rPr>
        <w:t xml:space="preserve"> </w:t>
      </w:r>
      <w:r w:rsidRPr="00F536D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536DF">
        <w:rPr>
          <w:sz w:val="28"/>
          <w:szCs w:val="28"/>
        </w:rPr>
        <w:t>.</w:t>
      </w:r>
    </w:p>
    <w:p w:rsidR="00027D5C" w:rsidRDefault="004B76A9" w:rsidP="00F536DF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20D">
        <w:rPr>
          <w:sz w:val="28"/>
          <w:szCs w:val="28"/>
        </w:rPr>
        <w:t xml:space="preserve"> </w:t>
      </w:r>
      <w:r>
        <w:rPr>
          <w:sz w:val="28"/>
          <w:szCs w:val="28"/>
        </w:rPr>
        <w:t>6.1</w:t>
      </w:r>
      <w:r w:rsidR="00AD3901" w:rsidRPr="00540D6E">
        <w:rPr>
          <w:sz w:val="28"/>
          <w:szCs w:val="28"/>
        </w:rPr>
        <w:t xml:space="preserve"> «</w:t>
      </w:r>
      <w:r w:rsidR="000316F2">
        <w:rPr>
          <w:sz w:val="28"/>
          <w:szCs w:val="28"/>
        </w:rPr>
        <w:t>Реализация полномочий в сфере жилищно-коммунального комплекса</w:t>
      </w:r>
      <w:r w:rsidR="00AD3901">
        <w:rPr>
          <w:sz w:val="28"/>
          <w:szCs w:val="28"/>
        </w:rPr>
        <w:t>»</w:t>
      </w:r>
      <w:r w:rsidR="00AD3901" w:rsidRPr="00EF09AE">
        <w:rPr>
          <w:sz w:val="28"/>
          <w:szCs w:val="28"/>
        </w:rPr>
        <w:t xml:space="preserve"> </w:t>
      </w:r>
      <w:r w:rsidR="00AD3901" w:rsidRPr="00540D6E">
        <w:rPr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</w:t>
      </w:r>
      <w:r w:rsidR="000316F2">
        <w:rPr>
          <w:sz w:val="28"/>
          <w:szCs w:val="28"/>
        </w:rPr>
        <w:t>у</w:t>
      </w:r>
      <w:r w:rsidR="000E60F8">
        <w:rPr>
          <w:sz w:val="28"/>
          <w:szCs w:val="28"/>
        </w:rPr>
        <w:t>меньшить</w:t>
      </w:r>
      <w:r w:rsidR="000316F2">
        <w:rPr>
          <w:sz w:val="28"/>
          <w:szCs w:val="28"/>
        </w:rPr>
        <w:t xml:space="preserve"> </w:t>
      </w:r>
      <w:r w:rsidR="00AD3901" w:rsidRPr="007138F9">
        <w:rPr>
          <w:sz w:val="28"/>
          <w:szCs w:val="28"/>
        </w:rPr>
        <w:t xml:space="preserve">расходы местного бюджета в сумме </w:t>
      </w:r>
      <w:r w:rsidR="000E60F8">
        <w:rPr>
          <w:sz w:val="28"/>
          <w:szCs w:val="28"/>
        </w:rPr>
        <w:t>30 732,014</w:t>
      </w:r>
      <w:r w:rsidR="00AD3901" w:rsidRPr="008443D9">
        <w:rPr>
          <w:sz w:val="28"/>
          <w:szCs w:val="28"/>
        </w:rPr>
        <w:t xml:space="preserve"> </w:t>
      </w:r>
      <w:r w:rsidR="00EB179B" w:rsidRPr="008443D9">
        <w:rPr>
          <w:sz w:val="28"/>
          <w:szCs w:val="28"/>
        </w:rPr>
        <w:t>тыс. рублей</w:t>
      </w:r>
      <w:r w:rsidR="008D1B94">
        <w:rPr>
          <w:sz w:val="28"/>
          <w:szCs w:val="28"/>
        </w:rPr>
        <w:t xml:space="preserve"> </w:t>
      </w:r>
      <w:r w:rsidR="00276D82">
        <w:rPr>
          <w:sz w:val="28"/>
          <w:szCs w:val="28"/>
        </w:rPr>
        <w:t xml:space="preserve">(26 122,211 тыс. рублей средства бюджета автономного округа и 4 609,803 тыс. рублей средства местного бюджета) </w:t>
      </w:r>
      <w:r w:rsidR="000E60F8">
        <w:rPr>
          <w:sz w:val="28"/>
          <w:szCs w:val="28"/>
        </w:rPr>
        <w:t xml:space="preserve">и </w:t>
      </w:r>
      <w:r w:rsidR="000E60F8" w:rsidRPr="00027D5C">
        <w:rPr>
          <w:sz w:val="28"/>
          <w:szCs w:val="28"/>
        </w:rPr>
        <w:t xml:space="preserve">передать их в рамках исполнения мероприятия соисполнителю </w:t>
      </w:r>
      <w:r w:rsidR="000E60F8" w:rsidRPr="00027D5C">
        <w:rPr>
          <w:sz w:val="28"/>
          <w:szCs w:val="28"/>
        </w:rPr>
        <w:lastRenderedPageBreak/>
        <w:t xml:space="preserve">департаменту градостроительства и земельных отношений администрации города </w:t>
      </w:r>
      <w:r w:rsidR="008D1B94" w:rsidRPr="00027D5C">
        <w:rPr>
          <w:sz w:val="28"/>
          <w:szCs w:val="28"/>
        </w:rPr>
        <w:t xml:space="preserve">на выполнение </w:t>
      </w:r>
      <w:r w:rsidR="004F45E8" w:rsidRPr="00027D5C">
        <w:rPr>
          <w:sz w:val="28"/>
          <w:szCs w:val="28"/>
        </w:rPr>
        <w:t>капитальн</w:t>
      </w:r>
      <w:r w:rsidR="00027D5C" w:rsidRPr="00027D5C">
        <w:rPr>
          <w:sz w:val="28"/>
          <w:szCs w:val="28"/>
        </w:rPr>
        <w:t>ого</w:t>
      </w:r>
      <w:r w:rsidR="004F45E8" w:rsidRPr="00027D5C">
        <w:rPr>
          <w:sz w:val="28"/>
          <w:szCs w:val="28"/>
        </w:rPr>
        <w:t xml:space="preserve"> ремонт</w:t>
      </w:r>
      <w:r w:rsidR="00027D5C" w:rsidRPr="00027D5C">
        <w:rPr>
          <w:sz w:val="28"/>
          <w:szCs w:val="28"/>
        </w:rPr>
        <w:t>а</w:t>
      </w:r>
      <w:r w:rsidR="004F45E8" w:rsidRPr="00027D5C">
        <w:rPr>
          <w:sz w:val="28"/>
          <w:szCs w:val="28"/>
        </w:rPr>
        <w:t xml:space="preserve"> объект</w:t>
      </w:r>
      <w:r w:rsidR="00027D5C" w:rsidRPr="00027D5C">
        <w:rPr>
          <w:sz w:val="28"/>
          <w:szCs w:val="28"/>
        </w:rPr>
        <w:t>а «Магистральный водовод».</w:t>
      </w:r>
    </w:p>
    <w:p w:rsidR="00062C98" w:rsidRPr="0017770C" w:rsidRDefault="00062C98" w:rsidP="00062C98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Pr="0017770C">
        <w:rPr>
          <w:sz w:val="28"/>
        </w:rPr>
        <w:t>.</w:t>
      </w:r>
    </w:p>
    <w:p w:rsidR="0069291F" w:rsidRPr="0069291F" w:rsidRDefault="0069291F" w:rsidP="0069291F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По итогам проведения финансово-экономической экспертизы, предлагаем направить проект муниципальной программы на у</w:t>
      </w:r>
      <w:r w:rsidR="00945807">
        <w:rPr>
          <w:sz w:val="28"/>
        </w:rPr>
        <w:t>тверждение с учётом рекомендаци</w:t>
      </w:r>
      <w:r w:rsidR="008A1063">
        <w:rPr>
          <w:sz w:val="28"/>
        </w:rPr>
        <w:t>й</w:t>
      </w:r>
      <w:r w:rsidRPr="0069291F">
        <w:rPr>
          <w:sz w:val="28"/>
        </w:rPr>
        <w:t>, отражённ</w:t>
      </w:r>
      <w:r w:rsidR="008A1063">
        <w:rPr>
          <w:sz w:val="28"/>
        </w:rPr>
        <w:t xml:space="preserve">ых </w:t>
      </w:r>
      <w:r w:rsidRPr="0069291F">
        <w:rPr>
          <w:sz w:val="28"/>
        </w:rPr>
        <w:t>в настоящем заключении.</w:t>
      </w:r>
    </w:p>
    <w:p w:rsidR="00A11A01" w:rsidRDefault="0069291F" w:rsidP="0069291F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Информацию о решени</w:t>
      </w:r>
      <w:r w:rsidR="008A1063">
        <w:rPr>
          <w:sz w:val="28"/>
        </w:rPr>
        <w:t>ях</w:t>
      </w:r>
      <w:r w:rsidRPr="0069291F">
        <w:rPr>
          <w:sz w:val="28"/>
        </w:rPr>
        <w:t>, принят</w:t>
      </w:r>
      <w:r w:rsidR="008A1063">
        <w:rPr>
          <w:sz w:val="28"/>
        </w:rPr>
        <w:t>ых</w:t>
      </w:r>
      <w:r w:rsidRPr="0069291F">
        <w:rPr>
          <w:sz w:val="28"/>
        </w:rPr>
        <w:t xml:space="preserve"> по результатам рассмотрения настоящего заключени</w:t>
      </w:r>
      <w:r w:rsidR="008A1063">
        <w:rPr>
          <w:sz w:val="28"/>
        </w:rPr>
        <w:t>я</w:t>
      </w:r>
      <w:r w:rsidRPr="0069291F">
        <w:rPr>
          <w:sz w:val="28"/>
        </w:rPr>
        <w:t>, направить в адрес Счётной палаты до 2</w:t>
      </w:r>
      <w:r w:rsidR="00CF1464">
        <w:rPr>
          <w:sz w:val="28"/>
        </w:rPr>
        <w:t>9</w:t>
      </w:r>
      <w:r w:rsidRPr="0069291F">
        <w:rPr>
          <w:sz w:val="28"/>
        </w:rPr>
        <w:t>.0</w:t>
      </w:r>
      <w:r w:rsidR="003F7912">
        <w:rPr>
          <w:sz w:val="28"/>
        </w:rPr>
        <w:t>5</w:t>
      </w:r>
      <w:r w:rsidRPr="0069291F">
        <w:rPr>
          <w:sz w:val="28"/>
        </w:rPr>
        <w:t>.20</w:t>
      </w:r>
      <w:r w:rsidR="000224FE">
        <w:rPr>
          <w:sz w:val="28"/>
        </w:rPr>
        <w:t>20</w:t>
      </w:r>
      <w:r w:rsidRPr="0069291F">
        <w:rPr>
          <w:sz w:val="28"/>
        </w:rPr>
        <w:t xml:space="preserve"> года.</w:t>
      </w:r>
    </w:p>
    <w:p w:rsidR="00585D2A" w:rsidRDefault="00585D2A" w:rsidP="00A93A0E">
      <w:pPr>
        <w:spacing w:line="247" w:lineRule="auto"/>
        <w:ind w:firstLine="567"/>
        <w:jc w:val="both"/>
        <w:rPr>
          <w:sz w:val="28"/>
          <w:highlight w:val="white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69291F" w:rsidRDefault="0069291F">
      <w:pPr>
        <w:ind w:firstLine="709"/>
        <w:jc w:val="both"/>
        <w:rPr>
          <w:sz w:val="28"/>
        </w:rPr>
      </w:pPr>
    </w:p>
    <w:p w:rsidR="00533E3F" w:rsidRDefault="00BA4B1C">
      <w:pPr>
        <w:jc w:val="both"/>
        <w:rPr>
          <w:sz w:val="28"/>
        </w:rPr>
      </w:pPr>
      <w:r>
        <w:rPr>
          <w:sz w:val="28"/>
        </w:rPr>
        <w:t>П</w:t>
      </w:r>
      <w:r w:rsidR="00D2014E">
        <w:rPr>
          <w:sz w:val="28"/>
        </w:rPr>
        <w:t>редседател</w:t>
      </w:r>
      <w:r>
        <w:rPr>
          <w:sz w:val="28"/>
        </w:rPr>
        <w:t>ь</w:t>
      </w:r>
      <w:r w:rsidR="00D2014E">
        <w:rPr>
          <w:sz w:val="28"/>
        </w:rPr>
        <w:t xml:space="preserve">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EB179B">
        <w:rPr>
          <w:sz w:val="28"/>
        </w:rPr>
        <w:t xml:space="preserve"> </w:t>
      </w:r>
      <w:r>
        <w:rPr>
          <w:sz w:val="28"/>
        </w:rPr>
        <w:t>Гичкина</w:t>
      </w:r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226DF9" w:rsidRDefault="00226DF9" w:rsidP="00142936">
      <w:pPr>
        <w:jc w:val="both"/>
        <w:rPr>
          <w:sz w:val="16"/>
        </w:rPr>
      </w:pPr>
    </w:p>
    <w:p w:rsidR="00226DF9" w:rsidRDefault="00226DF9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91184D" w:rsidRDefault="0091184D" w:rsidP="00142936">
      <w:pPr>
        <w:jc w:val="both"/>
        <w:rPr>
          <w:sz w:val="16"/>
        </w:rPr>
      </w:pPr>
    </w:p>
    <w:p w:rsidR="0091184D" w:rsidRDefault="0091184D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FE01BF" w:rsidRDefault="00FE01BF" w:rsidP="00142936">
      <w:pPr>
        <w:jc w:val="both"/>
        <w:rPr>
          <w:sz w:val="16"/>
        </w:rPr>
      </w:pPr>
    </w:p>
    <w:p w:rsidR="00142936" w:rsidRPr="00142936" w:rsidRDefault="00142936" w:rsidP="00142936">
      <w:pPr>
        <w:jc w:val="both"/>
        <w:rPr>
          <w:sz w:val="16"/>
        </w:rPr>
      </w:pP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Исполнитель: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142936" w:rsidRPr="008111F5" w:rsidRDefault="004A6BD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Батаева Лариса Николаевна</w:t>
      </w:r>
    </w:p>
    <w:p w:rsidR="00533E3F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Тел. 8 3463 20 30 6</w:t>
      </w:r>
      <w:r w:rsidR="004A6BD6" w:rsidRPr="008111F5">
        <w:rPr>
          <w:sz w:val="18"/>
          <w:szCs w:val="18"/>
        </w:rPr>
        <w:t>3</w:t>
      </w:r>
    </w:p>
    <w:sectPr w:rsidR="00533E3F" w:rsidRPr="008111F5" w:rsidSect="004547A1">
      <w:headerReference w:type="default" r:id="rId10"/>
      <w:pgSz w:w="11906" w:h="16838"/>
      <w:pgMar w:top="1134" w:right="567" w:bottom="851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B8E" w:rsidRDefault="00376B8E">
      <w:r>
        <w:separator/>
      </w:r>
    </w:p>
  </w:endnote>
  <w:endnote w:type="continuationSeparator" w:id="0">
    <w:p w:rsidR="00376B8E" w:rsidRDefault="0037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B8E" w:rsidRDefault="00376B8E">
      <w:r>
        <w:separator/>
      </w:r>
    </w:p>
  </w:footnote>
  <w:footnote w:type="continuationSeparator" w:id="0">
    <w:p w:rsidR="00376B8E" w:rsidRDefault="00376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C047AD">
      <w:rPr>
        <w:rStyle w:val="a7"/>
        <w:noProof/>
      </w:rPr>
      <w:t>4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F"/>
    <w:rsid w:val="000224FE"/>
    <w:rsid w:val="00027D5C"/>
    <w:rsid w:val="000316F2"/>
    <w:rsid w:val="00035CBF"/>
    <w:rsid w:val="00062C98"/>
    <w:rsid w:val="00073788"/>
    <w:rsid w:val="00073A9E"/>
    <w:rsid w:val="00084896"/>
    <w:rsid w:val="00085049"/>
    <w:rsid w:val="000912F4"/>
    <w:rsid w:val="000D0148"/>
    <w:rsid w:val="000E60F8"/>
    <w:rsid w:val="00101BF5"/>
    <w:rsid w:val="00112D09"/>
    <w:rsid w:val="00127C03"/>
    <w:rsid w:val="00134EC7"/>
    <w:rsid w:val="00142936"/>
    <w:rsid w:val="00180315"/>
    <w:rsid w:val="001B12E7"/>
    <w:rsid w:val="001B5FF5"/>
    <w:rsid w:val="001C1DB3"/>
    <w:rsid w:val="001D09FC"/>
    <w:rsid w:val="001D4532"/>
    <w:rsid w:val="001E6C40"/>
    <w:rsid w:val="00223A24"/>
    <w:rsid w:val="00226DF9"/>
    <w:rsid w:val="00227C4B"/>
    <w:rsid w:val="002305ED"/>
    <w:rsid w:val="00243520"/>
    <w:rsid w:val="00243F6B"/>
    <w:rsid w:val="00253678"/>
    <w:rsid w:val="00276D82"/>
    <w:rsid w:val="00290D36"/>
    <w:rsid w:val="00293B6A"/>
    <w:rsid w:val="00296F47"/>
    <w:rsid w:val="002C083D"/>
    <w:rsid w:val="002C7B4E"/>
    <w:rsid w:val="002D52C1"/>
    <w:rsid w:val="002E54AA"/>
    <w:rsid w:val="003154CF"/>
    <w:rsid w:val="003256AA"/>
    <w:rsid w:val="003403E3"/>
    <w:rsid w:val="0034089D"/>
    <w:rsid w:val="00353521"/>
    <w:rsid w:val="00371E92"/>
    <w:rsid w:val="00374E03"/>
    <w:rsid w:val="00376B8E"/>
    <w:rsid w:val="003835F3"/>
    <w:rsid w:val="00394EFA"/>
    <w:rsid w:val="00395EF8"/>
    <w:rsid w:val="003D6AA8"/>
    <w:rsid w:val="003F7912"/>
    <w:rsid w:val="00430578"/>
    <w:rsid w:val="00442D33"/>
    <w:rsid w:val="004464CA"/>
    <w:rsid w:val="004547A1"/>
    <w:rsid w:val="004A6BD6"/>
    <w:rsid w:val="004B2F97"/>
    <w:rsid w:val="004B76A9"/>
    <w:rsid w:val="004B7AD8"/>
    <w:rsid w:val="004D2DA9"/>
    <w:rsid w:val="004E39AD"/>
    <w:rsid w:val="004F45E8"/>
    <w:rsid w:val="004F501F"/>
    <w:rsid w:val="004F6037"/>
    <w:rsid w:val="00510CEE"/>
    <w:rsid w:val="005268C2"/>
    <w:rsid w:val="00531223"/>
    <w:rsid w:val="00533E3F"/>
    <w:rsid w:val="00534C46"/>
    <w:rsid w:val="005439A3"/>
    <w:rsid w:val="005651A6"/>
    <w:rsid w:val="0057016F"/>
    <w:rsid w:val="00585D2A"/>
    <w:rsid w:val="00586EE8"/>
    <w:rsid w:val="005B3EEA"/>
    <w:rsid w:val="005C5FF6"/>
    <w:rsid w:val="005F23F6"/>
    <w:rsid w:val="005F720D"/>
    <w:rsid w:val="00626F80"/>
    <w:rsid w:val="00650F4A"/>
    <w:rsid w:val="00651478"/>
    <w:rsid w:val="00681B3F"/>
    <w:rsid w:val="00684743"/>
    <w:rsid w:val="0069291F"/>
    <w:rsid w:val="006E2634"/>
    <w:rsid w:val="006F4044"/>
    <w:rsid w:val="00714333"/>
    <w:rsid w:val="00723380"/>
    <w:rsid w:val="00751201"/>
    <w:rsid w:val="00752424"/>
    <w:rsid w:val="00774BD5"/>
    <w:rsid w:val="00775C2C"/>
    <w:rsid w:val="00777E33"/>
    <w:rsid w:val="00795A20"/>
    <w:rsid w:val="007B4E80"/>
    <w:rsid w:val="007C7DF2"/>
    <w:rsid w:val="007D5B3E"/>
    <w:rsid w:val="007E790C"/>
    <w:rsid w:val="007F58A9"/>
    <w:rsid w:val="008111F5"/>
    <w:rsid w:val="00820AB7"/>
    <w:rsid w:val="0082599F"/>
    <w:rsid w:val="00830F23"/>
    <w:rsid w:val="00844337"/>
    <w:rsid w:val="008443D9"/>
    <w:rsid w:val="008447D1"/>
    <w:rsid w:val="00846F4C"/>
    <w:rsid w:val="008527A7"/>
    <w:rsid w:val="00857BE1"/>
    <w:rsid w:val="008A1063"/>
    <w:rsid w:val="008D1B94"/>
    <w:rsid w:val="008F525B"/>
    <w:rsid w:val="0090401F"/>
    <w:rsid w:val="00911807"/>
    <w:rsid w:val="0091184D"/>
    <w:rsid w:val="00913234"/>
    <w:rsid w:val="009163AE"/>
    <w:rsid w:val="00930B11"/>
    <w:rsid w:val="009328C6"/>
    <w:rsid w:val="00943E3B"/>
    <w:rsid w:val="00945807"/>
    <w:rsid w:val="00947183"/>
    <w:rsid w:val="0096776E"/>
    <w:rsid w:val="00977E66"/>
    <w:rsid w:val="00991A56"/>
    <w:rsid w:val="0099213D"/>
    <w:rsid w:val="009B3BCF"/>
    <w:rsid w:val="009E4A73"/>
    <w:rsid w:val="00A11A01"/>
    <w:rsid w:val="00A121CD"/>
    <w:rsid w:val="00A245E6"/>
    <w:rsid w:val="00A44897"/>
    <w:rsid w:val="00A46C5B"/>
    <w:rsid w:val="00A54ACA"/>
    <w:rsid w:val="00A61BA2"/>
    <w:rsid w:val="00A66047"/>
    <w:rsid w:val="00A82E96"/>
    <w:rsid w:val="00A87032"/>
    <w:rsid w:val="00A93A0E"/>
    <w:rsid w:val="00A979BF"/>
    <w:rsid w:val="00AC58D5"/>
    <w:rsid w:val="00AD3901"/>
    <w:rsid w:val="00AE28BC"/>
    <w:rsid w:val="00B212CF"/>
    <w:rsid w:val="00B40041"/>
    <w:rsid w:val="00B455F2"/>
    <w:rsid w:val="00B62589"/>
    <w:rsid w:val="00B637E5"/>
    <w:rsid w:val="00B72080"/>
    <w:rsid w:val="00B844B2"/>
    <w:rsid w:val="00B84E2D"/>
    <w:rsid w:val="00B958E8"/>
    <w:rsid w:val="00BA4B1C"/>
    <w:rsid w:val="00BC0437"/>
    <w:rsid w:val="00BC0F12"/>
    <w:rsid w:val="00BD08FA"/>
    <w:rsid w:val="00BD1CD6"/>
    <w:rsid w:val="00BD3031"/>
    <w:rsid w:val="00BE3B18"/>
    <w:rsid w:val="00BF31CD"/>
    <w:rsid w:val="00BF36DA"/>
    <w:rsid w:val="00C0258A"/>
    <w:rsid w:val="00C047AD"/>
    <w:rsid w:val="00C24C45"/>
    <w:rsid w:val="00C349CE"/>
    <w:rsid w:val="00C437B7"/>
    <w:rsid w:val="00C54DCD"/>
    <w:rsid w:val="00C6557D"/>
    <w:rsid w:val="00C70C40"/>
    <w:rsid w:val="00C72953"/>
    <w:rsid w:val="00CB2449"/>
    <w:rsid w:val="00CB3F12"/>
    <w:rsid w:val="00CC313A"/>
    <w:rsid w:val="00CE4708"/>
    <w:rsid w:val="00CF1464"/>
    <w:rsid w:val="00CF3E2A"/>
    <w:rsid w:val="00CF4110"/>
    <w:rsid w:val="00D0619B"/>
    <w:rsid w:val="00D14716"/>
    <w:rsid w:val="00D2014E"/>
    <w:rsid w:val="00D4195A"/>
    <w:rsid w:val="00D602B5"/>
    <w:rsid w:val="00D73BBB"/>
    <w:rsid w:val="00D8766C"/>
    <w:rsid w:val="00DB0DCC"/>
    <w:rsid w:val="00DE3B46"/>
    <w:rsid w:val="00DF560E"/>
    <w:rsid w:val="00E24698"/>
    <w:rsid w:val="00E25591"/>
    <w:rsid w:val="00E4459A"/>
    <w:rsid w:val="00E502B9"/>
    <w:rsid w:val="00E55DE8"/>
    <w:rsid w:val="00E623E9"/>
    <w:rsid w:val="00EA2289"/>
    <w:rsid w:val="00EB179B"/>
    <w:rsid w:val="00EB6B07"/>
    <w:rsid w:val="00EC0E26"/>
    <w:rsid w:val="00EC5AA3"/>
    <w:rsid w:val="00EC634D"/>
    <w:rsid w:val="00ED5364"/>
    <w:rsid w:val="00EF1181"/>
    <w:rsid w:val="00F06EAA"/>
    <w:rsid w:val="00F536DF"/>
    <w:rsid w:val="00F6105E"/>
    <w:rsid w:val="00FA668C"/>
    <w:rsid w:val="00FE0102"/>
    <w:rsid w:val="00FE01B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9F54B-3728-4B58-8FAF-83E5718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3</cp:revision>
  <cp:lastPrinted>2020-05-22T06:44:00Z</cp:lastPrinted>
  <dcterms:created xsi:type="dcterms:W3CDTF">2020-05-22T07:02:00Z</dcterms:created>
  <dcterms:modified xsi:type="dcterms:W3CDTF">2020-06-16T09:40:00Z</dcterms:modified>
</cp:coreProperties>
</file>