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99" w:rsidRPr="00540D6E" w:rsidRDefault="00493E99" w:rsidP="00493E99">
      <w:pPr>
        <w:jc w:val="center"/>
      </w:pPr>
      <w:r w:rsidRPr="00540D6E">
        <w:rPr>
          <w:noProof/>
        </w:rPr>
        <w:drawing>
          <wp:inline distT="0" distB="0" distL="0" distR="0">
            <wp:extent cx="819150" cy="1028700"/>
            <wp:effectExtent l="0" t="0" r="0" b="0"/>
            <wp:docPr id="14" name="Рисунок 14"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пия Герб со штриховко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493E99" w:rsidRPr="00540D6E" w:rsidRDefault="00493E99" w:rsidP="00493E99">
      <w:pPr>
        <w:jc w:val="center"/>
      </w:pPr>
    </w:p>
    <w:p w:rsidR="00493E99" w:rsidRPr="00540D6E" w:rsidRDefault="00493E99" w:rsidP="00493E99">
      <w:pPr>
        <w:jc w:val="center"/>
        <w:rPr>
          <w:b/>
          <w:sz w:val="32"/>
          <w:szCs w:val="32"/>
        </w:rPr>
      </w:pPr>
      <w:r w:rsidRPr="00540D6E">
        <w:rPr>
          <w:b/>
          <w:sz w:val="32"/>
          <w:szCs w:val="32"/>
        </w:rPr>
        <w:t>СЧЁТНАЯ ПАЛАТА</w:t>
      </w:r>
    </w:p>
    <w:p w:rsidR="00493E99" w:rsidRPr="00540D6E" w:rsidRDefault="00493E99" w:rsidP="00493E99">
      <w:pPr>
        <w:jc w:val="center"/>
        <w:rPr>
          <w:b/>
          <w:sz w:val="32"/>
          <w:szCs w:val="32"/>
        </w:rPr>
      </w:pPr>
      <w:r w:rsidRPr="00540D6E">
        <w:rPr>
          <w:b/>
          <w:sz w:val="32"/>
          <w:szCs w:val="32"/>
        </w:rPr>
        <w:t>ГОРОДА НЕФТЕЮГАНСКА</w:t>
      </w:r>
    </w:p>
    <w:p w:rsidR="00493E99" w:rsidRPr="00540D6E" w:rsidRDefault="00493E99" w:rsidP="00493E99">
      <w:pPr>
        <w:jc w:val="center"/>
        <w:rPr>
          <w:b/>
          <w:sz w:val="18"/>
          <w:szCs w:val="18"/>
        </w:rPr>
      </w:pPr>
    </w:p>
    <w:p w:rsidR="00493E99" w:rsidRPr="00540D6E" w:rsidRDefault="00493E99" w:rsidP="00493E99">
      <w:pPr>
        <w:pStyle w:val="a5"/>
        <w:jc w:val="center"/>
        <w:rPr>
          <w:b/>
          <w:i w:val="0"/>
          <w:sz w:val="18"/>
        </w:rPr>
      </w:pPr>
      <w:r w:rsidRPr="00540D6E">
        <w:rPr>
          <w:b/>
          <w:i w:val="0"/>
          <w:sz w:val="18"/>
        </w:rPr>
        <w:t xml:space="preserve">16 микрорайон, 23 дом, помещение 97, г. Нефтеюганск, </w:t>
      </w:r>
      <w:r w:rsidRPr="00540D6E">
        <w:rPr>
          <w:b/>
          <w:i w:val="0"/>
          <w:sz w:val="18"/>
        </w:rPr>
        <w:br/>
        <w:t xml:space="preserve">Ханты-Мансийский автономный округ - Югра (Тюменская область), 628310  </w:t>
      </w:r>
    </w:p>
    <w:p w:rsidR="00493E99" w:rsidRPr="00540D6E" w:rsidRDefault="00493E99" w:rsidP="00493E99">
      <w:pPr>
        <w:pStyle w:val="a5"/>
        <w:jc w:val="center"/>
        <w:rPr>
          <w:b/>
          <w:i w:val="0"/>
          <w:sz w:val="18"/>
        </w:rPr>
      </w:pPr>
      <w:r w:rsidRPr="00540D6E">
        <w:rPr>
          <w:b/>
          <w:i w:val="0"/>
        </w:rPr>
        <w:t>тел./факс (3463) 20</w:t>
      </w:r>
      <w:r w:rsidRPr="00540D6E">
        <w:rPr>
          <w:b/>
          <w:i w:val="0"/>
          <w:lang w:val="en-US"/>
        </w:rPr>
        <w:t>-</w:t>
      </w:r>
      <w:r w:rsidRPr="00540D6E">
        <w:rPr>
          <w:b/>
          <w:i w:val="0"/>
        </w:rPr>
        <w:t>30</w:t>
      </w:r>
      <w:r w:rsidRPr="00540D6E">
        <w:rPr>
          <w:b/>
          <w:i w:val="0"/>
          <w:lang w:val="en-US"/>
        </w:rPr>
        <w:t>-</w:t>
      </w:r>
      <w:r w:rsidRPr="00540D6E">
        <w:rPr>
          <w:b/>
          <w:i w:val="0"/>
        </w:rPr>
        <w:t xml:space="preserve">55, 20-30-63 </w:t>
      </w:r>
      <w:r w:rsidRPr="00540D6E">
        <w:rPr>
          <w:b/>
          <w:i w:val="0"/>
          <w:lang w:val="en-US"/>
        </w:rPr>
        <w:t>E</w:t>
      </w:r>
      <w:r w:rsidRPr="00540D6E">
        <w:rPr>
          <w:b/>
          <w:i w:val="0"/>
        </w:rPr>
        <w:t>-</w:t>
      </w:r>
      <w:r w:rsidRPr="00540D6E">
        <w:rPr>
          <w:b/>
          <w:i w:val="0"/>
          <w:lang w:val="en-US"/>
        </w:rPr>
        <w:t>mail</w:t>
      </w:r>
      <w:r w:rsidRPr="00540D6E">
        <w:rPr>
          <w:b/>
          <w:i w:val="0"/>
        </w:rPr>
        <w:t xml:space="preserve">: </w:t>
      </w:r>
      <w:hyperlink r:id="rId9" w:history="1">
        <w:r w:rsidRPr="00480138">
          <w:rPr>
            <w:rStyle w:val="a9"/>
            <w:b/>
            <w:i w:val="0"/>
            <w:color w:val="auto"/>
            <w:u w:val="none"/>
            <w:lang w:val="en-US"/>
          </w:rPr>
          <w:t>sp-ugansk@mail.ru</w:t>
        </w:r>
      </w:hyperlink>
      <w:r w:rsidRPr="00480138">
        <w:rPr>
          <w:b/>
          <w:i w:val="0"/>
          <w:color w:val="auto"/>
          <w:lang w:val="en-US"/>
        </w:rPr>
        <w:t xml:space="preserve"> </w:t>
      </w:r>
      <w:hyperlink r:id="rId10" w:history="1">
        <w:r w:rsidR="007C11A8" w:rsidRPr="00480138">
          <w:rPr>
            <w:rStyle w:val="a9"/>
            <w:b/>
            <w:i w:val="0"/>
            <w:color w:val="auto"/>
            <w:u w:val="none"/>
            <w:lang w:val="en-US"/>
          </w:rPr>
          <w:t>www.adm</w:t>
        </w:r>
        <w:r w:rsidR="007C11A8" w:rsidRPr="00480138">
          <w:rPr>
            <w:rStyle w:val="a9"/>
            <w:b/>
            <w:i w:val="0"/>
            <w:color w:val="auto"/>
            <w:sz w:val="18"/>
            <w:szCs w:val="18"/>
            <w:u w:val="none"/>
            <w:lang w:val="en-US"/>
          </w:rPr>
          <w:t>ugansk</w:t>
        </w:r>
        <w:r w:rsidR="007C11A8" w:rsidRPr="00480138">
          <w:rPr>
            <w:rStyle w:val="a9"/>
            <w:b/>
            <w:i w:val="0"/>
            <w:color w:val="auto"/>
            <w:sz w:val="18"/>
            <w:szCs w:val="18"/>
            <w:u w:val="none"/>
          </w:rPr>
          <w:t>.</w:t>
        </w:r>
        <w:r w:rsidR="007C11A8" w:rsidRPr="00480138">
          <w:rPr>
            <w:rStyle w:val="a9"/>
            <w:b/>
            <w:i w:val="0"/>
            <w:color w:val="auto"/>
            <w:sz w:val="18"/>
            <w:szCs w:val="18"/>
            <w:u w:val="none"/>
            <w:lang w:val="en-US"/>
          </w:rPr>
          <w:t>ru</w:t>
        </w:r>
      </w:hyperlink>
      <w:r w:rsidRPr="00480138">
        <w:rPr>
          <w:b/>
          <w:i w:val="0"/>
          <w:color w:val="auto"/>
          <w:sz w:val="18"/>
          <w:szCs w:val="18"/>
        </w:rPr>
        <w:t xml:space="preserve"> </w:t>
      </w:r>
    </w:p>
    <w:tbl>
      <w:tblPr>
        <w:tblW w:w="0" w:type="auto"/>
        <w:tblLook w:val="01E0" w:firstRow="1" w:lastRow="1" w:firstColumn="1" w:lastColumn="1" w:noHBand="0" w:noVBand="0"/>
      </w:tblPr>
      <w:tblGrid>
        <w:gridCol w:w="4383"/>
        <w:gridCol w:w="4972"/>
      </w:tblGrid>
      <w:tr w:rsidR="00493E99" w:rsidRPr="00540D6E" w:rsidTr="00493E99">
        <w:tc>
          <w:tcPr>
            <w:tcW w:w="4383" w:type="dxa"/>
          </w:tcPr>
          <w:p w:rsidR="00493E99" w:rsidRPr="00540D6E" w:rsidRDefault="00493E99" w:rsidP="0075059F">
            <w:pPr>
              <w:rPr>
                <w:sz w:val="28"/>
                <w:szCs w:val="28"/>
              </w:rPr>
            </w:pPr>
            <w:r w:rsidRPr="00540D6E">
              <w:rPr>
                <w:b/>
                <w:noProof/>
              </w:rPr>
              <mc:AlternateContent>
                <mc:Choice Requires="wps">
                  <w:drawing>
                    <wp:anchor distT="0" distB="0" distL="114300" distR="114300" simplePos="0" relativeHeight="251659264" behindDoc="0" locked="0" layoutInCell="0" allowOverlap="1">
                      <wp:simplePos x="0" y="0"/>
                      <wp:positionH relativeFrom="column">
                        <wp:posOffset>17145</wp:posOffset>
                      </wp:positionH>
                      <wp:positionV relativeFrom="paragraph">
                        <wp:posOffset>3175</wp:posOffset>
                      </wp:positionV>
                      <wp:extent cx="5907405" cy="4445"/>
                      <wp:effectExtent l="20955" t="20320" r="15240" b="133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F976A" id="Прямая соединительная линия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4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" o:allowincell="f" strokeweight="2pt"/>
                  </w:pict>
                </mc:Fallback>
              </mc:AlternateContent>
            </w:r>
            <w:r w:rsidRPr="00540D6E">
              <w:rPr>
                <w:b/>
                <w:noProof/>
              </w:rPr>
              <mc:AlternateContent>
                <mc:Choice Requires="wps">
                  <w:drawing>
                    <wp:anchor distT="0" distB="0" distL="114300" distR="114300" simplePos="0" relativeHeight="251660288" behindDoc="0" locked="0" layoutInCell="0" allowOverlap="1">
                      <wp:simplePos x="0" y="0"/>
                      <wp:positionH relativeFrom="column">
                        <wp:posOffset>17145</wp:posOffset>
                      </wp:positionH>
                      <wp:positionV relativeFrom="paragraph">
                        <wp:posOffset>38735</wp:posOffset>
                      </wp:positionV>
                      <wp:extent cx="5925820" cy="635"/>
                      <wp:effectExtent l="11430" t="8255" r="6350"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E3F34"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" o:allowincell="f" strokeweight=".5pt"/>
                  </w:pict>
                </mc:Fallback>
              </mc:AlternateContent>
            </w:r>
          </w:p>
          <w:p w:rsidR="00493E99" w:rsidRDefault="00C028DF" w:rsidP="00AD3E57">
            <w:pPr>
              <w:rPr>
                <w:sz w:val="28"/>
                <w:szCs w:val="28"/>
              </w:rPr>
            </w:pPr>
            <w:r>
              <w:rPr>
                <w:sz w:val="28"/>
                <w:szCs w:val="28"/>
              </w:rPr>
              <w:t>Исх. от 30.03.2020</w:t>
            </w:r>
          </w:p>
          <w:p w:rsidR="00C028DF" w:rsidRPr="00540D6E" w:rsidRDefault="00C028DF" w:rsidP="00AD3E57">
            <w:pPr>
              <w:rPr>
                <w:sz w:val="28"/>
                <w:szCs w:val="28"/>
              </w:rPr>
            </w:pPr>
            <w:r>
              <w:rPr>
                <w:sz w:val="28"/>
                <w:szCs w:val="28"/>
              </w:rPr>
              <w:t>№ СП-150-0</w:t>
            </w:r>
          </w:p>
        </w:tc>
        <w:tc>
          <w:tcPr>
            <w:tcW w:w="4972" w:type="dxa"/>
          </w:tcPr>
          <w:p w:rsidR="00493E99" w:rsidRPr="00540D6E" w:rsidRDefault="00493E99" w:rsidP="0075059F">
            <w:pPr>
              <w:rPr>
                <w:sz w:val="28"/>
                <w:szCs w:val="28"/>
              </w:rPr>
            </w:pPr>
          </w:p>
          <w:p w:rsidR="006863B3" w:rsidRPr="00540D6E" w:rsidRDefault="006863B3" w:rsidP="00C028DF">
            <w:pPr>
              <w:rPr>
                <w:sz w:val="28"/>
                <w:szCs w:val="28"/>
              </w:rPr>
            </w:pPr>
          </w:p>
        </w:tc>
      </w:tr>
    </w:tbl>
    <w:p w:rsidR="00493E99" w:rsidRDefault="00493E99" w:rsidP="00D43045">
      <w:pPr>
        <w:jc w:val="center"/>
        <w:rPr>
          <w:color w:val="auto"/>
          <w:sz w:val="28"/>
          <w:szCs w:val="28"/>
        </w:rPr>
      </w:pPr>
    </w:p>
    <w:p w:rsidR="00C028DF" w:rsidRDefault="00C028DF" w:rsidP="00D43045">
      <w:pPr>
        <w:jc w:val="center"/>
        <w:rPr>
          <w:color w:val="auto"/>
          <w:sz w:val="28"/>
          <w:szCs w:val="28"/>
        </w:rPr>
      </w:pPr>
      <w:bookmarkStart w:id="0" w:name="_GoBack"/>
      <w:bookmarkEnd w:id="0"/>
    </w:p>
    <w:p w:rsidR="00C30370" w:rsidRPr="00931AFF" w:rsidRDefault="00644578" w:rsidP="00D43045">
      <w:pPr>
        <w:jc w:val="center"/>
        <w:rPr>
          <w:color w:val="auto"/>
          <w:sz w:val="28"/>
          <w:szCs w:val="28"/>
        </w:rPr>
      </w:pPr>
      <w:r w:rsidRPr="00931AFF">
        <w:rPr>
          <w:color w:val="auto"/>
          <w:sz w:val="28"/>
          <w:szCs w:val="28"/>
        </w:rPr>
        <w:t xml:space="preserve">Заключение </w:t>
      </w:r>
    </w:p>
    <w:p w:rsidR="00C30370" w:rsidRPr="007274D8" w:rsidRDefault="00644578" w:rsidP="00D43045">
      <w:pPr>
        <w:jc w:val="center"/>
        <w:rPr>
          <w:color w:val="auto"/>
          <w:sz w:val="28"/>
          <w:szCs w:val="28"/>
        </w:rPr>
      </w:pPr>
      <w:r w:rsidRPr="007274D8">
        <w:rPr>
          <w:color w:val="auto"/>
          <w:sz w:val="28"/>
          <w:szCs w:val="28"/>
        </w:rPr>
        <w:t>на проект постановления администрации города Нефтеюганска</w:t>
      </w:r>
    </w:p>
    <w:p w:rsidR="00C30370" w:rsidRPr="00931AFF" w:rsidRDefault="00123437" w:rsidP="00D43045">
      <w:pPr>
        <w:jc w:val="center"/>
        <w:rPr>
          <w:color w:val="auto"/>
          <w:sz w:val="28"/>
          <w:szCs w:val="28"/>
        </w:rPr>
      </w:pPr>
      <w:r w:rsidRPr="007274D8">
        <w:rPr>
          <w:color w:val="auto"/>
          <w:sz w:val="28"/>
          <w:szCs w:val="28"/>
        </w:rPr>
        <w:t>«</w:t>
      </w:r>
      <w:r w:rsidR="00AD3E57">
        <w:rPr>
          <w:color w:val="auto"/>
          <w:sz w:val="28"/>
          <w:szCs w:val="28"/>
        </w:rPr>
        <w:t>Об утверждении Порядка предоставления субсидии застройщикам (инвесторам) на возмещение части затрат, понесённых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w:t>
      </w:r>
      <w:r w:rsidR="00480138">
        <w:rPr>
          <w:color w:val="auto"/>
          <w:sz w:val="28"/>
          <w:szCs w:val="28"/>
        </w:rPr>
        <w:t xml:space="preserve"> </w:t>
      </w:r>
      <w:r w:rsidR="00AD3E57">
        <w:rPr>
          <w:color w:val="auto"/>
          <w:sz w:val="28"/>
          <w:szCs w:val="28"/>
        </w:rPr>
        <w:t xml:space="preserve">во исполнение обязательств по заключенным договорам о развитии застроенной территории» </w:t>
      </w:r>
    </w:p>
    <w:p w:rsidR="00B946C3" w:rsidRDefault="00B946C3" w:rsidP="00036B8F">
      <w:pPr>
        <w:spacing w:line="276" w:lineRule="auto"/>
        <w:jc w:val="center"/>
        <w:rPr>
          <w:sz w:val="28"/>
        </w:rPr>
      </w:pPr>
    </w:p>
    <w:p w:rsidR="00C30370" w:rsidRDefault="00644578" w:rsidP="004C2CED">
      <w:pPr>
        <w:ind w:firstLine="709"/>
        <w:jc w:val="both"/>
        <w:rPr>
          <w:sz w:val="28"/>
        </w:rPr>
      </w:pPr>
      <w:r>
        <w:rPr>
          <w:sz w:val="28"/>
        </w:rPr>
        <w:t xml:space="preserve">Счётная палата в </w:t>
      </w:r>
      <w:r w:rsidR="00F137B7">
        <w:rPr>
          <w:sz w:val="28"/>
        </w:rPr>
        <w:t>соответствии с</w:t>
      </w:r>
      <w:r>
        <w:rPr>
          <w:sz w:val="28"/>
        </w:rPr>
        <w:t xml:space="preserve"> пунктом 7 части 2 статьи 9 Федерального закона от 07.02.2011 № 6-ФЗ «Об общих принципах организации и деятельности контрольно-сч</w:t>
      </w:r>
      <w:r w:rsidR="00986108">
        <w:rPr>
          <w:sz w:val="28"/>
        </w:rPr>
        <w:t>ё</w:t>
      </w:r>
      <w:r>
        <w:rPr>
          <w:sz w:val="28"/>
        </w:rPr>
        <w:t>тных органов</w:t>
      </w:r>
      <w:r w:rsidR="00F44621">
        <w:rPr>
          <w:sz w:val="28"/>
        </w:rPr>
        <w:t xml:space="preserve"> субъектов Российской Федерации и муниципальных образований</w:t>
      </w:r>
      <w:r>
        <w:rPr>
          <w:sz w:val="28"/>
        </w:rPr>
        <w:t>» проводит финансово-</w:t>
      </w:r>
      <w:r w:rsidRPr="004B4171">
        <w:rPr>
          <w:sz w:val="28"/>
        </w:rPr>
        <w:t>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w:t>
      </w:r>
    </w:p>
    <w:p w:rsidR="009C21C9" w:rsidRDefault="009C21C9" w:rsidP="009C21C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пунктом 3 статьи 78 Бюджетного кодекса Российской Федерации</w:t>
      </w:r>
      <w:r w:rsidR="000E4D03">
        <w:rPr>
          <w:rFonts w:eastAsiaTheme="minorHAnsi"/>
          <w:sz w:val="28"/>
          <w:szCs w:val="28"/>
          <w:lang w:eastAsia="en-US"/>
        </w:rPr>
        <w:t xml:space="preserve"> (далее по тексту – БК РФ)</w:t>
      </w:r>
      <w:r>
        <w:rPr>
          <w:rFonts w:eastAsiaTheme="minorHAnsi"/>
          <w:sz w:val="28"/>
          <w:szCs w:val="28"/>
          <w:lang w:eastAsia="en-US"/>
        </w:rPr>
        <w:t xml:space="preserve">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1" w:history="1">
        <w:r w:rsidRPr="00353CF2">
          <w:rPr>
            <w:rFonts w:eastAsiaTheme="minorHAnsi"/>
            <w:sz w:val="28"/>
            <w:szCs w:val="28"/>
            <w:lang w:eastAsia="en-US"/>
          </w:rPr>
          <w:t>требованиям</w:t>
        </w:r>
      </w:hyperlink>
      <w:r w:rsidRPr="00353CF2">
        <w:rPr>
          <w:rFonts w:eastAsiaTheme="minorHAnsi"/>
          <w:sz w:val="28"/>
          <w:szCs w:val="28"/>
          <w:lang w:eastAsia="en-US"/>
        </w:rPr>
        <w:t>, у</w:t>
      </w:r>
      <w:r>
        <w:rPr>
          <w:rFonts w:eastAsiaTheme="minorHAnsi"/>
          <w:sz w:val="28"/>
          <w:szCs w:val="28"/>
          <w:lang w:eastAsia="en-US"/>
        </w:rPr>
        <w:t>становленным Правительством Российской Федерации.</w:t>
      </w:r>
    </w:p>
    <w:p w:rsidR="009C21C9" w:rsidRDefault="009C21C9" w:rsidP="009C21C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Постановлением Правительства Российской Федерации от 06.09.2016</w:t>
      </w:r>
      <w:r>
        <w:rPr>
          <w:rFonts w:eastAsiaTheme="minorHAnsi"/>
          <w:sz w:val="28"/>
          <w:szCs w:val="28"/>
          <w:lang w:eastAsia="en-US"/>
        </w:rPr>
        <w:br/>
        <w:t xml:space="preserve"> № 887 утверждены общие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по тексту – Общие требования).</w:t>
      </w:r>
      <w:r w:rsidRPr="00E35F63">
        <w:rPr>
          <w:rFonts w:eastAsiaTheme="minorHAnsi"/>
          <w:sz w:val="28"/>
          <w:szCs w:val="28"/>
          <w:lang w:eastAsia="en-US"/>
        </w:rPr>
        <w:t xml:space="preserve"> </w:t>
      </w:r>
    </w:p>
    <w:p w:rsidR="000E4D03" w:rsidRDefault="000E4D03" w:rsidP="000E4D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Представленный на экспертизу </w:t>
      </w:r>
      <w:r w:rsidRPr="007274D8">
        <w:rPr>
          <w:color w:val="auto"/>
          <w:sz w:val="28"/>
          <w:szCs w:val="28"/>
        </w:rPr>
        <w:t>проект постановления администрации города Нефтеюганска</w:t>
      </w:r>
      <w:r>
        <w:rPr>
          <w:color w:val="auto"/>
          <w:sz w:val="28"/>
          <w:szCs w:val="28"/>
        </w:rPr>
        <w:t xml:space="preserve"> </w:t>
      </w:r>
      <w:r w:rsidRPr="007274D8">
        <w:rPr>
          <w:color w:val="auto"/>
          <w:sz w:val="28"/>
          <w:szCs w:val="28"/>
        </w:rPr>
        <w:t>«</w:t>
      </w:r>
      <w:r>
        <w:rPr>
          <w:color w:val="auto"/>
          <w:sz w:val="28"/>
          <w:szCs w:val="28"/>
        </w:rPr>
        <w:t xml:space="preserve">Об утверждении Порядка предоставления субсидии застройщикам (инвесторам) на возмещение части затрат, понесённых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 </w:t>
      </w:r>
      <w:r w:rsidRPr="00E0404B">
        <w:rPr>
          <w:rFonts w:eastAsiaTheme="minorHAnsi"/>
          <w:sz w:val="28"/>
          <w:szCs w:val="28"/>
          <w:lang w:eastAsia="en-US"/>
        </w:rPr>
        <w:t>(далее по тексту - Порядок предоставления субсидии) не соответствует Общим требованиям, а именно:</w:t>
      </w:r>
    </w:p>
    <w:p w:rsidR="000E4D03" w:rsidRDefault="000E4D03" w:rsidP="000E4D03">
      <w:pPr>
        <w:autoSpaceDE w:val="0"/>
        <w:autoSpaceDN w:val="0"/>
        <w:adjustRightInd w:val="0"/>
        <w:ind w:firstLine="709"/>
        <w:jc w:val="both"/>
        <w:rPr>
          <w:sz w:val="28"/>
          <w:szCs w:val="28"/>
        </w:rPr>
      </w:pPr>
      <w:r>
        <w:rPr>
          <w:rFonts w:eastAsiaTheme="minorHAnsi"/>
          <w:sz w:val="28"/>
          <w:szCs w:val="28"/>
          <w:lang w:eastAsia="en-US"/>
        </w:rPr>
        <w:t xml:space="preserve">1. Пунктом 2 Общих требований установлено, что </w:t>
      </w:r>
      <w:r>
        <w:rPr>
          <w:sz w:val="28"/>
          <w:szCs w:val="28"/>
        </w:rPr>
        <w:t xml:space="preserve">муниципальные правовые акты местной администрации или акты уполномоченных ею органов местного самоуправления, устанавливающие порядок предоставления из соответствующего бюджета бюджетной системы Российской Федерации субсидий получателям субсидий, принимаемые в соответствии с </w:t>
      </w:r>
      <w:r w:rsidR="00A36D58">
        <w:rPr>
          <w:sz w:val="28"/>
          <w:szCs w:val="28"/>
        </w:rPr>
        <w:t>БК РФ</w:t>
      </w:r>
      <w:r>
        <w:rPr>
          <w:sz w:val="28"/>
          <w:szCs w:val="28"/>
        </w:rPr>
        <w:t xml:space="preserve"> в случаях и порядке, которые предусмотрены законом (решением) о соответствующем бюджете бюджетной системы Российской</w:t>
      </w:r>
      <w:r w:rsidR="00A36D58">
        <w:rPr>
          <w:sz w:val="28"/>
          <w:szCs w:val="28"/>
        </w:rPr>
        <w:t>, содержат, в том числе, требования к отчётности.</w:t>
      </w:r>
    </w:p>
    <w:p w:rsidR="00A36D58" w:rsidRDefault="00A36D58" w:rsidP="000E4D03">
      <w:pPr>
        <w:autoSpaceDE w:val="0"/>
        <w:autoSpaceDN w:val="0"/>
        <w:adjustRightInd w:val="0"/>
        <w:ind w:firstLine="709"/>
        <w:jc w:val="both"/>
        <w:rPr>
          <w:sz w:val="28"/>
          <w:szCs w:val="28"/>
        </w:rPr>
      </w:pPr>
      <w:r>
        <w:rPr>
          <w:sz w:val="28"/>
          <w:szCs w:val="28"/>
        </w:rPr>
        <w:t>В Порядке предоставления субсидии указанный раздел отсутствует.</w:t>
      </w:r>
    </w:p>
    <w:p w:rsidR="00A36D58" w:rsidRDefault="00A36D58" w:rsidP="000E4D03">
      <w:pPr>
        <w:autoSpaceDE w:val="0"/>
        <w:autoSpaceDN w:val="0"/>
        <w:adjustRightInd w:val="0"/>
        <w:ind w:firstLine="709"/>
        <w:jc w:val="both"/>
        <w:rPr>
          <w:sz w:val="28"/>
          <w:szCs w:val="28"/>
        </w:rPr>
      </w:pPr>
      <w:r>
        <w:rPr>
          <w:sz w:val="28"/>
          <w:szCs w:val="28"/>
        </w:rPr>
        <w:t xml:space="preserve">В целях предотвращения нарушения Общих требований, рекомендуем дополнить Порядок предоставления субсидии разделом, предусматривающим информацию о требованиях к отчётности. </w:t>
      </w:r>
    </w:p>
    <w:p w:rsidR="008C4000" w:rsidRDefault="00CE30FD" w:rsidP="008C4000">
      <w:pPr>
        <w:autoSpaceDE w:val="0"/>
        <w:autoSpaceDN w:val="0"/>
        <w:adjustRightInd w:val="0"/>
        <w:ind w:firstLine="709"/>
        <w:jc w:val="both"/>
        <w:rPr>
          <w:sz w:val="28"/>
          <w:szCs w:val="28"/>
        </w:rPr>
      </w:pPr>
      <w:r>
        <w:rPr>
          <w:rFonts w:eastAsiaTheme="minorHAnsi"/>
          <w:sz w:val="28"/>
          <w:szCs w:val="28"/>
          <w:lang w:eastAsia="en-US"/>
        </w:rPr>
        <w:t>2</w:t>
      </w:r>
      <w:r w:rsidR="00441A0A">
        <w:rPr>
          <w:rFonts w:eastAsiaTheme="minorHAnsi"/>
          <w:sz w:val="28"/>
          <w:szCs w:val="28"/>
          <w:lang w:eastAsia="en-US"/>
        </w:rPr>
        <w:t>.</w:t>
      </w:r>
      <w:r w:rsidR="008C4000" w:rsidRPr="008C4000">
        <w:rPr>
          <w:rFonts w:eastAsiaTheme="minorHAnsi"/>
          <w:sz w:val="28"/>
          <w:szCs w:val="28"/>
          <w:lang w:eastAsia="en-US"/>
        </w:rPr>
        <w:t xml:space="preserve"> </w:t>
      </w:r>
      <w:r w:rsidR="008C4000">
        <w:rPr>
          <w:rFonts w:eastAsiaTheme="minorHAnsi"/>
          <w:sz w:val="28"/>
          <w:szCs w:val="28"/>
          <w:lang w:eastAsia="en-US"/>
        </w:rPr>
        <w:t>Пунктом 2 Общих требований установлено, что информация о категории и (или)</w:t>
      </w:r>
      <w:r w:rsidR="008C4000" w:rsidRPr="008C4000">
        <w:rPr>
          <w:sz w:val="28"/>
          <w:szCs w:val="28"/>
        </w:rPr>
        <w:t xml:space="preserve"> </w:t>
      </w:r>
      <w:r w:rsidR="008C4000">
        <w:rPr>
          <w:sz w:val="28"/>
          <w:szCs w:val="28"/>
        </w:rPr>
        <w:t>критерии отбора получателей субсидий, имеющих право на получение субсидий, отбираемых исходя из указанных критериев, в том числе по итогам конкурса, с указанием в правовом акте порядка проведения отбора (за исключением случаев, когда получатель субсидии определяется в соответствии с законом (решением) о бюджете), должна отражаться в разделе «Общие положения о предоставлении субсидий»</w:t>
      </w:r>
      <w:r w:rsidR="00167740">
        <w:rPr>
          <w:sz w:val="28"/>
          <w:szCs w:val="28"/>
        </w:rPr>
        <w:t>.</w:t>
      </w:r>
    </w:p>
    <w:p w:rsidR="000E4D03" w:rsidRDefault="00167740" w:rsidP="000E4D03">
      <w:pPr>
        <w:autoSpaceDE w:val="0"/>
        <w:autoSpaceDN w:val="0"/>
        <w:adjustRightInd w:val="0"/>
        <w:ind w:firstLine="709"/>
        <w:jc w:val="both"/>
        <w:rPr>
          <w:sz w:val="28"/>
          <w:szCs w:val="28"/>
        </w:rPr>
      </w:pPr>
      <w:r>
        <w:rPr>
          <w:sz w:val="28"/>
          <w:szCs w:val="28"/>
        </w:rPr>
        <w:t>В Порядке предоставления субсидии данная информация включена в раздел «Условия и порядок предоставления субсидий».</w:t>
      </w:r>
    </w:p>
    <w:p w:rsidR="00167740" w:rsidRDefault="00F44621" w:rsidP="000E4D03">
      <w:pPr>
        <w:autoSpaceDE w:val="0"/>
        <w:autoSpaceDN w:val="0"/>
        <w:adjustRightInd w:val="0"/>
        <w:ind w:firstLine="709"/>
        <w:jc w:val="both"/>
        <w:rPr>
          <w:sz w:val="28"/>
          <w:szCs w:val="28"/>
        </w:rPr>
      </w:pPr>
      <w:r>
        <w:rPr>
          <w:sz w:val="28"/>
          <w:szCs w:val="28"/>
        </w:rPr>
        <w:t>Р</w:t>
      </w:r>
      <w:r w:rsidR="00167740">
        <w:rPr>
          <w:sz w:val="28"/>
          <w:szCs w:val="28"/>
        </w:rPr>
        <w:t>екомендуем отразить информацию</w:t>
      </w:r>
      <w:r w:rsidR="00167740" w:rsidRPr="00167740">
        <w:rPr>
          <w:rFonts w:eastAsiaTheme="minorHAnsi"/>
          <w:sz w:val="28"/>
          <w:szCs w:val="28"/>
          <w:lang w:eastAsia="en-US"/>
        </w:rPr>
        <w:t xml:space="preserve"> </w:t>
      </w:r>
      <w:r w:rsidR="00167740">
        <w:rPr>
          <w:rFonts w:eastAsiaTheme="minorHAnsi"/>
          <w:sz w:val="28"/>
          <w:szCs w:val="28"/>
          <w:lang w:eastAsia="en-US"/>
        </w:rPr>
        <w:t>о категории и (или)</w:t>
      </w:r>
      <w:r w:rsidR="00167740" w:rsidRPr="008C4000">
        <w:rPr>
          <w:sz w:val="28"/>
          <w:szCs w:val="28"/>
        </w:rPr>
        <w:t xml:space="preserve"> </w:t>
      </w:r>
      <w:r w:rsidR="00167740">
        <w:rPr>
          <w:sz w:val="28"/>
          <w:szCs w:val="28"/>
        </w:rPr>
        <w:t>критерии отбора получателей субсидий в разделе «Общие положения о предоставлении субсидий».</w:t>
      </w:r>
    </w:p>
    <w:p w:rsidR="00A02D01" w:rsidRPr="00E35F63" w:rsidRDefault="00A02D01" w:rsidP="000E4D03">
      <w:pPr>
        <w:autoSpaceDE w:val="0"/>
        <w:autoSpaceDN w:val="0"/>
        <w:adjustRightInd w:val="0"/>
        <w:ind w:firstLine="709"/>
        <w:jc w:val="both"/>
        <w:rPr>
          <w:rFonts w:eastAsiaTheme="minorHAnsi"/>
          <w:sz w:val="28"/>
          <w:szCs w:val="28"/>
          <w:lang w:eastAsia="en-US"/>
        </w:rPr>
      </w:pPr>
      <w:r>
        <w:rPr>
          <w:sz w:val="28"/>
          <w:szCs w:val="28"/>
        </w:rPr>
        <w:t>Кроме того, установлено:</w:t>
      </w:r>
    </w:p>
    <w:p w:rsidR="00452275" w:rsidRDefault="00452275" w:rsidP="009C21C9">
      <w:pPr>
        <w:autoSpaceDE w:val="0"/>
        <w:autoSpaceDN w:val="0"/>
        <w:adjustRightInd w:val="0"/>
        <w:ind w:firstLine="709"/>
        <w:jc w:val="both"/>
        <w:rPr>
          <w:sz w:val="28"/>
          <w:szCs w:val="28"/>
        </w:rPr>
      </w:pPr>
      <w:r>
        <w:rPr>
          <w:color w:val="auto"/>
          <w:sz w:val="28"/>
          <w:szCs w:val="28"/>
        </w:rPr>
        <w:t>1. В соответствии с пунктом 2.3</w:t>
      </w:r>
      <w:r w:rsidRPr="00452275">
        <w:rPr>
          <w:sz w:val="28"/>
          <w:szCs w:val="28"/>
        </w:rPr>
        <w:t xml:space="preserve"> </w:t>
      </w:r>
      <w:r>
        <w:rPr>
          <w:sz w:val="28"/>
          <w:szCs w:val="28"/>
        </w:rPr>
        <w:t>Порядка предоставления субсидии, для получения субсидии застройщик (инвестор) представляет в адрес Департамента, в том числе, справку об отсутствии просроченной задолженности по субсидиям, бюджетным инвестициям и иным средствам, представленным из бюджета города Нефтеюганска, согласно приложению 2 к Порядку предоставления субсидии.</w:t>
      </w:r>
    </w:p>
    <w:p w:rsidR="00452275" w:rsidRDefault="00EA0AA2" w:rsidP="00452275">
      <w:pPr>
        <w:autoSpaceDE w:val="0"/>
        <w:autoSpaceDN w:val="0"/>
        <w:adjustRightInd w:val="0"/>
        <w:ind w:firstLine="709"/>
        <w:jc w:val="both"/>
        <w:rPr>
          <w:sz w:val="28"/>
          <w:szCs w:val="28"/>
        </w:rPr>
      </w:pPr>
      <w:r>
        <w:rPr>
          <w:rFonts w:eastAsiaTheme="minorHAnsi"/>
          <w:sz w:val="28"/>
          <w:szCs w:val="28"/>
          <w:lang w:eastAsia="en-US"/>
        </w:rPr>
        <w:t>Согласно</w:t>
      </w:r>
      <w:r w:rsidR="00452275">
        <w:rPr>
          <w:rFonts w:eastAsiaTheme="minorHAnsi"/>
          <w:sz w:val="28"/>
          <w:szCs w:val="28"/>
          <w:lang w:eastAsia="en-US"/>
        </w:rPr>
        <w:t xml:space="preserve"> приложени</w:t>
      </w:r>
      <w:r>
        <w:rPr>
          <w:rFonts w:eastAsiaTheme="minorHAnsi"/>
          <w:sz w:val="28"/>
          <w:szCs w:val="28"/>
          <w:lang w:eastAsia="en-US"/>
        </w:rPr>
        <w:t>ю</w:t>
      </w:r>
      <w:r w:rsidR="00452275">
        <w:rPr>
          <w:rFonts w:eastAsiaTheme="minorHAnsi"/>
          <w:sz w:val="28"/>
          <w:szCs w:val="28"/>
          <w:lang w:eastAsia="en-US"/>
        </w:rPr>
        <w:t xml:space="preserve"> 2 </w:t>
      </w:r>
      <w:r w:rsidR="00452275">
        <w:rPr>
          <w:sz w:val="28"/>
          <w:szCs w:val="28"/>
        </w:rPr>
        <w:t>к Порядку предоставления субсидии</w:t>
      </w:r>
      <w:r>
        <w:rPr>
          <w:sz w:val="28"/>
          <w:szCs w:val="28"/>
        </w:rPr>
        <w:t>, данная справка подписывается руководителем получателя субсидии.</w:t>
      </w:r>
    </w:p>
    <w:p w:rsidR="00EA0AA2" w:rsidRDefault="006B2FEE" w:rsidP="00452275">
      <w:pPr>
        <w:autoSpaceDE w:val="0"/>
        <w:autoSpaceDN w:val="0"/>
        <w:adjustRightInd w:val="0"/>
        <w:ind w:firstLine="709"/>
        <w:jc w:val="both"/>
        <w:rPr>
          <w:sz w:val="28"/>
          <w:szCs w:val="28"/>
        </w:rPr>
      </w:pPr>
      <w:r>
        <w:rPr>
          <w:sz w:val="28"/>
          <w:szCs w:val="28"/>
        </w:rPr>
        <w:t xml:space="preserve">Считаем целесообразным предусмотреть в Порядке предоставления субсидии указание на необходимость согласования </w:t>
      </w:r>
      <w:r w:rsidR="00EA0AA2">
        <w:rPr>
          <w:sz w:val="28"/>
          <w:szCs w:val="28"/>
        </w:rPr>
        <w:t>справк</w:t>
      </w:r>
      <w:r>
        <w:rPr>
          <w:sz w:val="28"/>
          <w:szCs w:val="28"/>
        </w:rPr>
        <w:t xml:space="preserve">и </w:t>
      </w:r>
      <w:r w:rsidRPr="006B2FEE">
        <w:rPr>
          <w:sz w:val="28"/>
          <w:szCs w:val="28"/>
        </w:rPr>
        <w:t>об отсутствии просроченной задолженности по субсидиям, бюджетным инвестициям и иным средствам, представленным из бюджета города Нефтеюганска</w:t>
      </w:r>
      <w:r>
        <w:rPr>
          <w:sz w:val="28"/>
          <w:szCs w:val="28"/>
        </w:rPr>
        <w:t xml:space="preserve"> с</w:t>
      </w:r>
      <w:r w:rsidR="00EA0AA2">
        <w:rPr>
          <w:sz w:val="28"/>
          <w:szCs w:val="28"/>
        </w:rPr>
        <w:t xml:space="preserve"> департаментом финансов администрации города Нефтеюганска</w:t>
      </w:r>
      <w:r w:rsidR="001D1097">
        <w:rPr>
          <w:sz w:val="28"/>
          <w:szCs w:val="28"/>
        </w:rPr>
        <w:t>.</w:t>
      </w:r>
    </w:p>
    <w:p w:rsidR="00452275" w:rsidRDefault="00A269C9" w:rsidP="009C21C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Рекомендуем в перечень документов для получения субсидии застройщиком (инвестором) внести:</w:t>
      </w:r>
    </w:p>
    <w:p w:rsidR="00A269C9" w:rsidRDefault="00A269C9" w:rsidP="009C21C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выписку из Единого государственного реестра юридических лиц (Единого государственного реестра индивидуальных предпринимателей);</w:t>
      </w:r>
    </w:p>
    <w:p w:rsidR="00A269C9" w:rsidRDefault="00A269C9" w:rsidP="009C21C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195303">
        <w:rPr>
          <w:rFonts w:eastAsiaTheme="minorHAnsi"/>
          <w:sz w:val="28"/>
          <w:szCs w:val="28"/>
          <w:lang w:eastAsia="en-US"/>
        </w:rPr>
        <w:t>свидетельство о постановке на учёт в налоговом органе;</w:t>
      </w:r>
    </w:p>
    <w:p w:rsidR="00195303" w:rsidRDefault="00195303" w:rsidP="009C21C9">
      <w:pPr>
        <w:autoSpaceDE w:val="0"/>
        <w:autoSpaceDN w:val="0"/>
        <w:adjustRightInd w:val="0"/>
        <w:ind w:firstLine="709"/>
        <w:jc w:val="both"/>
        <w:rPr>
          <w:color w:val="auto"/>
          <w:sz w:val="28"/>
          <w:szCs w:val="28"/>
        </w:rPr>
      </w:pPr>
      <w:r>
        <w:rPr>
          <w:rFonts w:eastAsiaTheme="minorHAnsi"/>
          <w:sz w:val="28"/>
          <w:szCs w:val="28"/>
          <w:lang w:eastAsia="en-US"/>
        </w:rPr>
        <w:t xml:space="preserve">- платежный документ, подтверждающий затраты застройщика (инвестора), понесённые на оплату </w:t>
      </w:r>
      <w:r>
        <w:rPr>
          <w:color w:val="auto"/>
          <w:sz w:val="28"/>
          <w:szCs w:val="28"/>
        </w:rPr>
        <w:t>стоимости (себестоимости) строительства (приобретения) квартир, передаваемых застройщиком (инвестором) в орган местного самоуправления.</w:t>
      </w:r>
    </w:p>
    <w:p w:rsidR="000C10F6" w:rsidRDefault="00C737EB" w:rsidP="009C21C9">
      <w:pPr>
        <w:autoSpaceDE w:val="0"/>
        <w:autoSpaceDN w:val="0"/>
        <w:adjustRightInd w:val="0"/>
        <w:ind w:firstLine="709"/>
        <w:jc w:val="both"/>
        <w:rPr>
          <w:color w:val="auto"/>
          <w:sz w:val="28"/>
          <w:szCs w:val="28"/>
        </w:rPr>
      </w:pPr>
      <w:r>
        <w:rPr>
          <w:rFonts w:eastAsiaTheme="minorHAnsi"/>
          <w:sz w:val="28"/>
          <w:szCs w:val="28"/>
          <w:lang w:eastAsia="en-US"/>
        </w:rPr>
        <w:t>3. Положени</w:t>
      </w:r>
      <w:r w:rsidR="000C10F6">
        <w:rPr>
          <w:rFonts w:eastAsiaTheme="minorHAnsi"/>
          <w:sz w:val="28"/>
          <w:szCs w:val="28"/>
          <w:lang w:eastAsia="en-US"/>
        </w:rPr>
        <w:t xml:space="preserve">ем </w:t>
      </w:r>
      <w:r>
        <w:rPr>
          <w:rFonts w:eastAsiaTheme="minorHAnsi"/>
          <w:sz w:val="28"/>
          <w:szCs w:val="28"/>
          <w:lang w:eastAsia="en-US"/>
        </w:rPr>
        <w:t>о комиссии по отбору застройщиков (инвесторов) в целях предоставления субсидии на возмещение части затрат, понесённых застройщиком (инвестором)</w:t>
      </w:r>
      <w:r w:rsidRPr="00C737EB">
        <w:rPr>
          <w:color w:val="auto"/>
          <w:sz w:val="28"/>
          <w:szCs w:val="28"/>
        </w:rPr>
        <w:t xml:space="preserve"> </w:t>
      </w:r>
      <w:r>
        <w:rPr>
          <w:color w:val="auto"/>
          <w:sz w:val="28"/>
          <w:szCs w:val="28"/>
        </w:rPr>
        <w:t>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r w:rsidR="000C10F6">
        <w:rPr>
          <w:color w:val="auto"/>
          <w:sz w:val="28"/>
          <w:szCs w:val="28"/>
        </w:rPr>
        <w:t xml:space="preserve"> (далее по тексту – Положение о комиссии) установлено:</w:t>
      </w:r>
    </w:p>
    <w:p w:rsidR="00195303" w:rsidRDefault="00C737EB" w:rsidP="009C21C9">
      <w:pPr>
        <w:autoSpaceDE w:val="0"/>
        <w:autoSpaceDN w:val="0"/>
        <w:adjustRightInd w:val="0"/>
        <w:ind w:firstLine="709"/>
        <w:jc w:val="both"/>
        <w:rPr>
          <w:color w:val="auto"/>
          <w:sz w:val="28"/>
          <w:szCs w:val="28"/>
        </w:rPr>
      </w:pPr>
      <w:r>
        <w:rPr>
          <w:color w:val="auto"/>
          <w:sz w:val="28"/>
          <w:szCs w:val="28"/>
        </w:rPr>
        <w:t xml:space="preserve"> </w:t>
      </w:r>
      <w:r w:rsidR="000C10F6">
        <w:rPr>
          <w:color w:val="auto"/>
          <w:sz w:val="28"/>
          <w:szCs w:val="28"/>
        </w:rPr>
        <w:t xml:space="preserve">3.1. </w:t>
      </w:r>
      <w:r w:rsidR="000C10F6">
        <w:rPr>
          <w:rFonts w:eastAsiaTheme="minorHAnsi"/>
          <w:sz w:val="28"/>
          <w:szCs w:val="28"/>
          <w:lang w:eastAsia="en-US"/>
        </w:rPr>
        <w:t xml:space="preserve">Пункт 1.5 - </w:t>
      </w:r>
      <w:r>
        <w:rPr>
          <w:color w:val="auto"/>
          <w:sz w:val="28"/>
          <w:szCs w:val="28"/>
        </w:rPr>
        <w:t>решение Комиссии носит рекомендательный характер.</w:t>
      </w:r>
    </w:p>
    <w:p w:rsidR="004349A8" w:rsidRDefault="006B2FEE" w:rsidP="006B2FEE">
      <w:pPr>
        <w:autoSpaceDE w:val="0"/>
        <w:autoSpaceDN w:val="0"/>
        <w:adjustRightInd w:val="0"/>
        <w:ind w:firstLine="709"/>
        <w:jc w:val="both"/>
        <w:rPr>
          <w:color w:val="auto"/>
          <w:sz w:val="28"/>
          <w:szCs w:val="28"/>
        </w:rPr>
      </w:pPr>
      <w:r>
        <w:rPr>
          <w:color w:val="auto"/>
          <w:sz w:val="28"/>
          <w:szCs w:val="28"/>
        </w:rPr>
        <w:t>В соответствии с абзацем 7 пункта 2.11 Порядка предоставления субсидии комиссия в срок не более 5 рабочих дней принимает решение о предоставлении либо об отказе в предоставлении субсидии, в связи с чем</w:t>
      </w:r>
      <w:r w:rsidR="005D178F">
        <w:rPr>
          <w:color w:val="auto"/>
          <w:sz w:val="28"/>
          <w:szCs w:val="28"/>
        </w:rPr>
        <w:t>,</w:t>
      </w:r>
      <w:r>
        <w:rPr>
          <w:color w:val="auto"/>
          <w:sz w:val="28"/>
          <w:szCs w:val="28"/>
        </w:rPr>
        <w:t xml:space="preserve"> р</w:t>
      </w:r>
      <w:r w:rsidR="004349A8">
        <w:rPr>
          <w:color w:val="auto"/>
          <w:sz w:val="28"/>
          <w:szCs w:val="28"/>
        </w:rPr>
        <w:t>екомендуем пункт 1.5</w:t>
      </w:r>
      <w:r w:rsidR="005D178F" w:rsidRPr="005D178F">
        <w:t xml:space="preserve"> </w:t>
      </w:r>
      <w:r w:rsidR="005D178F" w:rsidRPr="005D178F">
        <w:rPr>
          <w:color w:val="auto"/>
          <w:sz w:val="28"/>
          <w:szCs w:val="28"/>
        </w:rPr>
        <w:t>Положени</w:t>
      </w:r>
      <w:r w:rsidR="005D178F">
        <w:rPr>
          <w:color w:val="auto"/>
          <w:sz w:val="28"/>
          <w:szCs w:val="28"/>
        </w:rPr>
        <w:t>я</w:t>
      </w:r>
      <w:r w:rsidR="005D178F" w:rsidRPr="005D178F">
        <w:rPr>
          <w:color w:val="auto"/>
          <w:sz w:val="28"/>
          <w:szCs w:val="28"/>
        </w:rPr>
        <w:t xml:space="preserve"> о комиссии</w:t>
      </w:r>
      <w:r w:rsidR="004349A8">
        <w:rPr>
          <w:color w:val="auto"/>
          <w:sz w:val="28"/>
          <w:szCs w:val="28"/>
        </w:rPr>
        <w:t xml:space="preserve"> исключить</w:t>
      </w:r>
      <w:r w:rsidR="000C10F6">
        <w:rPr>
          <w:color w:val="auto"/>
          <w:sz w:val="28"/>
          <w:szCs w:val="28"/>
        </w:rPr>
        <w:t>.</w:t>
      </w:r>
    </w:p>
    <w:p w:rsidR="004349A8" w:rsidRDefault="000C10F6" w:rsidP="009C21C9">
      <w:pPr>
        <w:autoSpaceDE w:val="0"/>
        <w:autoSpaceDN w:val="0"/>
        <w:adjustRightInd w:val="0"/>
        <w:ind w:firstLine="709"/>
        <w:jc w:val="both"/>
        <w:rPr>
          <w:color w:val="auto"/>
          <w:sz w:val="28"/>
          <w:szCs w:val="28"/>
        </w:rPr>
      </w:pPr>
      <w:r>
        <w:rPr>
          <w:color w:val="auto"/>
          <w:sz w:val="28"/>
          <w:szCs w:val="28"/>
        </w:rPr>
        <w:t>3.2. Пункт 3.4 – в случае отсутствия члена комиссии по причине отпуска, командировки, болезни и иным уважительным причинам, в заседании принимает участие лицо, замещающее или временно исполняющее его обязанности.</w:t>
      </w:r>
    </w:p>
    <w:p w:rsidR="000C10F6" w:rsidRDefault="000C10F6" w:rsidP="009C21C9">
      <w:pPr>
        <w:autoSpaceDE w:val="0"/>
        <w:autoSpaceDN w:val="0"/>
        <w:adjustRightInd w:val="0"/>
        <w:ind w:firstLine="709"/>
        <w:jc w:val="both"/>
        <w:rPr>
          <w:color w:val="auto"/>
          <w:sz w:val="28"/>
          <w:szCs w:val="28"/>
        </w:rPr>
      </w:pPr>
      <w:r>
        <w:rPr>
          <w:color w:val="auto"/>
          <w:sz w:val="28"/>
          <w:szCs w:val="28"/>
        </w:rPr>
        <w:t>В приложении к Положени</w:t>
      </w:r>
      <w:r w:rsidR="008F7B95">
        <w:rPr>
          <w:color w:val="auto"/>
          <w:sz w:val="28"/>
          <w:szCs w:val="28"/>
        </w:rPr>
        <w:t xml:space="preserve">ю о комиссии установлен состав членов комиссии, не предусматривающий </w:t>
      </w:r>
      <w:r>
        <w:rPr>
          <w:color w:val="auto"/>
          <w:sz w:val="28"/>
          <w:szCs w:val="28"/>
        </w:rPr>
        <w:t xml:space="preserve"> </w:t>
      </w:r>
      <w:r w:rsidR="008F7B95">
        <w:rPr>
          <w:color w:val="auto"/>
          <w:sz w:val="28"/>
          <w:szCs w:val="28"/>
        </w:rPr>
        <w:t>участие лиц, замещающих или временно исполняющих обязанности основного члена комиссии</w:t>
      </w:r>
      <w:r w:rsidR="00D22837">
        <w:rPr>
          <w:color w:val="auto"/>
          <w:sz w:val="28"/>
          <w:szCs w:val="28"/>
        </w:rPr>
        <w:t>.</w:t>
      </w:r>
    </w:p>
    <w:p w:rsidR="00D22837" w:rsidRDefault="00D22837" w:rsidP="009C21C9">
      <w:pPr>
        <w:autoSpaceDE w:val="0"/>
        <w:autoSpaceDN w:val="0"/>
        <w:adjustRightInd w:val="0"/>
        <w:ind w:firstLine="709"/>
        <w:jc w:val="both"/>
        <w:rPr>
          <w:color w:val="auto"/>
          <w:sz w:val="28"/>
          <w:szCs w:val="28"/>
        </w:rPr>
      </w:pPr>
      <w:r>
        <w:rPr>
          <w:color w:val="auto"/>
          <w:sz w:val="28"/>
          <w:szCs w:val="28"/>
        </w:rPr>
        <w:t xml:space="preserve">Рекомендуем исключить противоречие в положениях </w:t>
      </w:r>
      <w:r>
        <w:rPr>
          <w:sz w:val="28"/>
          <w:szCs w:val="28"/>
        </w:rPr>
        <w:t xml:space="preserve">Порядка предоставления субсидии. </w:t>
      </w:r>
    </w:p>
    <w:p w:rsidR="00E0404B" w:rsidRDefault="00E0404B" w:rsidP="00E0404B">
      <w:pPr>
        <w:tabs>
          <w:tab w:val="left" w:pos="0"/>
        </w:tabs>
        <w:ind w:firstLine="709"/>
        <w:jc w:val="both"/>
        <w:rPr>
          <w:sz w:val="28"/>
          <w:szCs w:val="28"/>
        </w:rPr>
      </w:pPr>
      <w:r w:rsidRPr="005611E3">
        <w:rPr>
          <w:sz w:val="28"/>
          <w:szCs w:val="28"/>
        </w:rPr>
        <w:t xml:space="preserve">На основании вышеуказанных замечаний, в </w:t>
      </w:r>
      <w:r w:rsidR="001513E0">
        <w:rPr>
          <w:sz w:val="28"/>
          <w:szCs w:val="28"/>
        </w:rPr>
        <w:t>П</w:t>
      </w:r>
      <w:r w:rsidRPr="005611E3">
        <w:rPr>
          <w:sz w:val="28"/>
          <w:szCs w:val="28"/>
        </w:rPr>
        <w:t>оряд</w:t>
      </w:r>
      <w:r w:rsidR="001513E0">
        <w:rPr>
          <w:sz w:val="28"/>
          <w:szCs w:val="28"/>
        </w:rPr>
        <w:t>ок предоставления</w:t>
      </w:r>
      <w:r w:rsidRPr="005611E3">
        <w:rPr>
          <w:sz w:val="28"/>
          <w:szCs w:val="28"/>
        </w:rPr>
        <w:t xml:space="preserve"> </w:t>
      </w:r>
      <w:r w:rsidR="001513E0">
        <w:rPr>
          <w:sz w:val="28"/>
          <w:szCs w:val="28"/>
        </w:rPr>
        <w:t xml:space="preserve">субсидии </w:t>
      </w:r>
      <w:r w:rsidRPr="005611E3">
        <w:rPr>
          <w:sz w:val="28"/>
          <w:szCs w:val="28"/>
        </w:rPr>
        <w:t>необходимо внести соответствующие изменения, в связи, с чем копия настоящего заключения направлена разработчику проекта муниципального правового акта.</w:t>
      </w:r>
    </w:p>
    <w:p w:rsidR="00006FE4" w:rsidRDefault="00006FE4" w:rsidP="004C2CED">
      <w:pPr>
        <w:tabs>
          <w:tab w:val="left" w:pos="0"/>
        </w:tabs>
        <w:jc w:val="both"/>
        <w:rPr>
          <w:sz w:val="28"/>
        </w:rPr>
      </w:pPr>
    </w:p>
    <w:p w:rsidR="005611E3" w:rsidRDefault="005611E3">
      <w:pPr>
        <w:spacing w:line="276" w:lineRule="auto"/>
        <w:ind w:firstLine="540"/>
        <w:jc w:val="both"/>
        <w:rPr>
          <w:sz w:val="28"/>
        </w:rPr>
      </w:pPr>
    </w:p>
    <w:p w:rsidR="00036B8F" w:rsidRDefault="00036B8F">
      <w:pPr>
        <w:spacing w:line="276" w:lineRule="auto"/>
        <w:ind w:firstLine="540"/>
        <w:jc w:val="both"/>
        <w:rPr>
          <w:sz w:val="28"/>
        </w:rPr>
      </w:pPr>
    </w:p>
    <w:p w:rsidR="00C30370" w:rsidRDefault="00715CDB">
      <w:pPr>
        <w:spacing w:line="276" w:lineRule="auto"/>
        <w:jc w:val="both"/>
        <w:rPr>
          <w:sz w:val="28"/>
        </w:rPr>
      </w:pPr>
      <w:r>
        <w:rPr>
          <w:sz w:val="28"/>
        </w:rPr>
        <w:t>П</w:t>
      </w:r>
      <w:r w:rsidR="005611E3">
        <w:rPr>
          <w:sz w:val="28"/>
        </w:rPr>
        <w:t>редседател</w:t>
      </w:r>
      <w:r>
        <w:rPr>
          <w:sz w:val="28"/>
        </w:rPr>
        <w:t xml:space="preserve">ь              </w:t>
      </w:r>
      <w:r w:rsidR="00644578">
        <w:rPr>
          <w:sz w:val="28"/>
        </w:rPr>
        <w:t xml:space="preserve">                                                          </w:t>
      </w:r>
      <w:r>
        <w:rPr>
          <w:sz w:val="28"/>
        </w:rPr>
        <w:t xml:space="preserve">        </w:t>
      </w:r>
      <w:r w:rsidR="00D43045">
        <w:rPr>
          <w:sz w:val="28"/>
        </w:rPr>
        <w:t xml:space="preserve">      </w:t>
      </w:r>
      <w:r w:rsidR="00C028DF">
        <w:rPr>
          <w:sz w:val="28"/>
        </w:rPr>
        <w:t xml:space="preserve">           </w:t>
      </w:r>
      <w:r w:rsidR="00644578">
        <w:rPr>
          <w:sz w:val="28"/>
        </w:rPr>
        <w:t xml:space="preserve"> </w:t>
      </w:r>
      <w:r>
        <w:rPr>
          <w:sz w:val="28"/>
        </w:rPr>
        <w:t>С.А. Гичкина</w:t>
      </w:r>
    </w:p>
    <w:p w:rsidR="00D43045" w:rsidRDefault="00D43045">
      <w:pPr>
        <w:jc w:val="both"/>
        <w:rPr>
          <w:sz w:val="28"/>
        </w:rPr>
      </w:pPr>
    </w:p>
    <w:p w:rsidR="00D43045" w:rsidRDefault="00D43045">
      <w:pPr>
        <w:jc w:val="both"/>
        <w:rPr>
          <w:sz w:val="28"/>
        </w:rPr>
      </w:pPr>
    </w:p>
    <w:p w:rsidR="00C30370" w:rsidRDefault="00644578">
      <w:pPr>
        <w:jc w:val="both"/>
        <w:rPr>
          <w:sz w:val="20"/>
        </w:rPr>
      </w:pPr>
      <w:r>
        <w:rPr>
          <w:sz w:val="28"/>
        </w:rPr>
        <w:t>и</w:t>
      </w:r>
      <w:r>
        <w:rPr>
          <w:sz w:val="20"/>
        </w:rPr>
        <w:t>сполнитель:</w:t>
      </w:r>
    </w:p>
    <w:p w:rsidR="00C30370" w:rsidRDefault="00E0404B">
      <w:pPr>
        <w:jc w:val="both"/>
        <w:rPr>
          <w:sz w:val="20"/>
        </w:rPr>
      </w:pPr>
      <w:r>
        <w:rPr>
          <w:sz w:val="20"/>
        </w:rPr>
        <w:t>инспектор</w:t>
      </w:r>
      <w:r w:rsidR="00644578">
        <w:rPr>
          <w:sz w:val="20"/>
        </w:rPr>
        <w:t xml:space="preserve"> инспекторского отдела № </w:t>
      </w:r>
      <w:r w:rsidR="00493E99">
        <w:rPr>
          <w:sz w:val="20"/>
        </w:rPr>
        <w:t>2</w:t>
      </w:r>
    </w:p>
    <w:p w:rsidR="00C30370" w:rsidRDefault="00644578">
      <w:pPr>
        <w:jc w:val="both"/>
        <w:rPr>
          <w:sz w:val="20"/>
        </w:rPr>
      </w:pPr>
      <w:r>
        <w:rPr>
          <w:sz w:val="20"/>
        </w:rPr>
        <w:t>Счётной палаты города Нефтеюганска</w:t>
      </w:r>
    </w:p>
    <w:p w:rsidR="00C30370" w:rsidRDefault="00E0404B">
      <w:pPr>
        <w:jc w:val="both"/>
        <w:rPr>
          <w:sz w:val="20"/>
        </w:rPr>
      </w:pPr>
      <w:r>
        <w:rPr>
          <w:sz w:val="20"/>
        </w:rPr>
        <w:t>Пустовалова Наталья Юрьевна</w:t>
      </w:r>
    </w:p>
    <w:p w:rsidR="00C30370" w:rsidRDefault="00644578">
      <w:pPr>
        <w:jc w:val="both"/>
        <w:rPr>
          <w:sz w:val="28"/>
        </w:rPr>
      </w:pPr>
      <w:r>
        <w:rPr>
          <w:sz w:val="20"/>
        </w:rPr>
        <w:t xml:space="preserve">Тел. 8 (3463) </w:t>
      </w:r>
      <w:r w:rsidR="00E0404B">
        <w:rPr>
          <w:sz w:val="20"/>
        </w:rPr>
        <w:t>203948</w:t>
      </w:r>
    </w:p>
    <w:sectPr w:rsidR="00C30370" w:rsidSect="00C028DF">
      <w:headerReference w:type="default" r:id="rId12"/>
      <w:pgSz w:w="11906" w:h="16838"/>
      <w:pgMar w:top="1134" w:right="567" w:bottom="28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264" w:rsidRDefault="00834264">
      <w:r>
        <w:separator/>
      </w:r>
    </w:p>
  </w:endnote>
  <w:endnote w:type="continuationSeparator" w:id="0">
    <w:p w:rsidR="00834264" w:rsidRDefault="0083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264" w:rsidRDefault="00834264">
      <w:r>
        <w:separator/>
      </w:r>
    </w:p>
  </w:footnote>
  <w:footnote w:type="continuationSeparator" w:id="0">
    <w:p w:rsidR="00834264" w:rsidRDefault="008342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70" w:rsidRDefault="00644578">
    <w:pPr>
      <w:framePr w:wrap="around" w:vAnchor="text" w:hAnchor="margin" w:xAlign="center" w:y="1"/>
    </w:pPr>
    <w:r>
      <w:fldChar w:fldCharType="begin"/>
    </w:r>
    <w:r>
      <w:instrText xml:space="preserve">PAGE </w:instrText>
    </w:r>
    <w:r>
      <w:fldChar w:fldCharType="separate"/>
    </w:r>
    <w:r w:rsidR="00C028DF">
      <w:rPr>
        <w:noProof/>
      </w:rPr>
      <w:t>3</w:t>
    </w:r>
    <w:r>
      <w:fldChar w:fldCharType="end"/>
    </w:r>
  </w:p>
  <w:p w:rsidR="00C30370" w:rsidRDefault="00C30370">
    <w:pPr>
      <w:pStyle w:val="aa"/>
      <w:jc w:val="center"/>
    </w:pPr>
  </w:p>
  <w:p w:rsidR="00C30370" w:rsidRDefault="00C3037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D10"/>
    <w:multiLevelType w:val="multilevel"/>
    <w:tmpl w:val="5A445AC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lef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lef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left"/>
      <w:pPr>
        <w:ind w:left="6825" w:hanging="180"/>
      </w:pPr>
    </w:lvl>
  </w:abstractNum>
  <w:abstractNum w:abstractNumId="1" w15:restartNumberingAfterBreak="0">
    <w:nsid w:val="187915E7"/>
    <w:multiLevelType w:val="hybridMultilevel"/>
    <w:tmpl w:val="0D804524"/>
    <w:lvl w:ilvl="0" w:tplc="D13097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497F35"/>
    <w:multiLevelType w:val="hybridMultilevel"/>
    <w:tmpl w:val="B94E815A"/>
    <w:lvl w:ilvl="0" w:tplc="B104847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932D26"/>
    <w:multiLevelType w:val="hybridMultilevel"/>
    <w:tmpl w:val="A2FAD64A"/>
    <w:lvl w:ilvl="0" w:tplc="40927DE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ED21F7"/>
    <w:multiLevelType w:val="hybridMultilevel"/>
    <w:tmpl w:val="D244159A"/>
    <w:lvl w:ilvl="0" w:tplc="07CA1D7A">
      <w:start w:val="1"/>
      <w:numFmt w:val="decimal"/>
      <w:lvlText w:val="%1."/>
      <w:lvlJc w:val="left"/>
      <w:pPr>
        <w:ind w:left="2345" w:hanging="360"/>
      </w:pPr>
      <w:rPr>
        <w:rFonts w:hint="default"/>
        <w:b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17631F"/>
    <w:multiLevelType w:val="hybridMultilevel"/>
    <w:tmpl w:val="AFD627BE"/>
    <w:lvl w:ilvl="0" w:tplc="64E28E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6ED688B"/>
    <w:multiLevelType w:val="hybridMultilevel"/>
    <w:tmpl w:val="926A725C"/>
    <w:lvl w:ilvl="0" w:tplc="D13097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70"/>
    <w:rsid w:val="00006FE4"/>
    <w:rsid w:val="00036B8F"/>
    <w:rsid w:val="000643DC"/>
    <w:rsid w:val="00081CDF"/>
    <w:rsid w:val="00082D2D"/>
    <w:rsid w:val="000870C7"/>
    <w:rsid w:val="000B33A0"/>
    <w:rsid w:val="000C10F6"/>
    <w:rsid w:val="000C4F3B"/>
    <w:rsid w:val="000D0DBD"/>
    <w:rsid w:val="000E4D03"/>
    <w:rsid w:val="000F60E9"/>
    <w:rsid w:val="00123437"/>
    <w:rsid w:val="00127D3A"/>
    <w:rsid w:val="0013578F"/>
    <w:rsid w:val="0015102D"/>
    <w:rsid w:val="001513E0"/>
    <w:rsid w:val="00160385"/>
    <w:rsid w:val="001667EB"/>
    <w:rsid w:val="00167740"/>
    <w:rsid w:val="0017415D"/>
    <w:rsid w:val="00195303"/>
    <w:rsid w:val="0019614A"/>
    <w:rsid w:val="001B4A3D"/>
    <w:rsid w:val="001C1D03"/>
    <w:rsid w:val="001C293B"/>
    <w:rsid w:val="001C729D"/>
    <w:rsid w:val="001D1097"/>
    <w:rsid w:val="002036E8"/>
    <w:rsid w:val="00217B90"/>
    <w:rsid w:val="00234FAA"/>
    <w:rsid w:val="00245E48"/>
    <w:rsid w:val="0026079D"/>
    <w:rsid w:val="00271483"/>
    <w:rsid w:val="002840DA"/>
    <w:rsid w:val="0028654D"/>
    <w:rsid w:val="002C0350"/>
    <w:rsid w:val="002D2CB1"/>
    <w:rsid w:val="002D4F31"/>
    <w:rsid w:val="002D6092"/>
    <w:rsid w:val="002D7778"/>
    <w:rsid w:val="002E3384"/>
    <w:rsid w:val="00300A87"/>
    <w:rsid w:val="003136E5"/>
    <w:rsid w:val="003427D1"/>
    <w:rsid w:val="00356E0D"/>
    <w:rsid w:val="003832AD"/>
    <w:rsid w:val="003B3015"/>
    <w:rsid w:val="003B5A11"/>
    <w:rsid w:val="003C1AA9"/>
    <w:rsid w:val="003C3988"/>
    <w:rsid w:val="003D739D"/>
    <w:rsid w:val="003D793D"/>
    <w:rsid w:val="003F0F80"/>
    <w:rsid w:val="00406AD4"/>
    <w:rsid w:val="00414CF7"/>
    <w:rsid w:val="00420DCC"/>
    <w:rsid w:val="00424FB5"/>
    <w:rsid w:val="004257B4"/>
    <w:rsid w:val="00430845"/>
    <w:rsid w:val="004349A8"/>
    <w:rsid w:val="00441A0A"/>
    <w:rsid w:val="004469BD"/>
    <w:rsid w:val="00452275"/>
    <w:rsid w:val="00480138"/>
    <w:rsid w:val="00493E99"/>
    <w:rsid w:val="004B034E"/>
    <w:rsid w:val="004B4171"/>
    <w:rsid w:val="004C2CED"/>
    <w:rsid w:val="004D070E"/>
    <w:rsid w:val="004E2D41"/>
    <w:rsid w:val="004E43A6"/>
    <w:rsid w:val="00543BA8"/>
    <w:rsid w:val="005550B8"/>
    <w:rsid w:val="005611E3"/>
    <w:rsid w:val="00570205"/>
    <w:rsid w:val="005916B2"/>
    <w:rsid w:val="005939F0"/>
    <w:rsid w:val="005A0D4E"/>
    <w:rsid w:val="005B0926"/>
    <w:rsid w:val="005C4036"/>
    <w:rsid w:val="005D178F"/>
    <w:rsid w:val="005E0C2D"/>
    <w:rsid w:val="005E0DE8"/>
    <w:rsid w:val="005F7540"/>
    <w:rsid w:val="00600B40"/>
    <w:rsid w:val="00601D47"/>
    <w:rsid w:val="00604ACA"/>
    <w:rsid w:val="006108EE"/>
    <w:rsid w:val="00616A81"/>
    <w:rsid w:val="00620BF0"/>
    <w:rsid w:val="00625ABB"/>
    <w:rsid w:val="00635ABD"/>
    <w:rsid w:val="0063731F"/>
    <w:rsid w:val="00644578"/>
    <w:rsid w:val="0064494F"/>
    <w:rsid w:val="00671589"/>
    <w:rsid w:val="00674063"/>
    <w:rsid w:val="006863B3"/>
    <w:rsid w:val="00694314"/>
    <w:rsid w:val="006A7273"/>
    <w:rsid w:val="006B2FEE"/>
    <w:rsid w:val="006C1151"/>
    <w:rsid w:val="006E1B64"/>
    <w:rsid w:val="00704651"/>
    <w:rsid w:val="00714190"/>
    <w:rsid w:val="00714771"/>
    <w:rsid w:val="00715CDB"/>
    <w:rsid w:val="00724776"/>
    <w:rsid w:val="007274D8"/>
    <w:rsid w:val="007333AB"/>
    <w:rsid w:val="00751225"/>
    <w:rsid w:val="0076540D"/>
    <w:rsid w:val="007808C3"/>
    <w:rsid w:val="007A2C28"/>
    <w:rsid w:val="007B186D"/>
    <w:rsid w:val="007C11A8"/>
    <w:rsid w:val="007F4EC2"/>
    <w:rsid w:val="008155F6"/>
    <w:rsid w:val="00820B26"/>
    <w:rsid w:val="00827867"/>
    <w:rsid w:val="00834264"/>
    <w:rsid w:val="00855AC5"/>
    <w:rsid w:val="00860BF1"/>
    <w:rsid w:val="008868CD"/>
    <w:rsid w:val="008937FC"/>
    <w:rsid w:val="008A2A80"/>
    <w:rsid w:val="008A4DE9"/>
    <w:rsid w:val="008C2E49"/>
    <w:rsid w:val="008C4000"/>
    <w:rsid w:val="008C5EB9"/>
    <w:rsid w:val="008C6ADF"/>
    <w:rsid w:val="008F7B95"/>
    <w:rsid w:val="009224EA"/>
    <w:rsid w:val="00923A86"/>
    <w:rsid w:val="00923AC5"/>
    <w:rsid w:val="00931AFF"/>
    <w:rsid w:val="0093588C"/>
    <w:rsid w:val="0094715D"/>
    <w:rsid w:val="00951B35"/>
    <w:rsid w:val="0096506A"/>
    <w:rsid w:val="00967697"/>
    <w:rsid w:val="00986108"/>
    <w:rsid w:val="009B4FC9"/>
    <w:rsid w:val="009C21C9"/>
    <w:rsid w:val="009D0CE6"/>
    <w:rsid w:val="009D2274"/>
    <w:rsid w:val="009D633F"/>
    <w:rsid w:val="009E5FAF"/>
    <w:rsid w:val="00A02D01"/>
    <w:rsid w:val="00A03B35"/>
    <w:rsid w:val="00A0527A"/>
    <w:rsid w:val="00A12644"/>
    <w:rsid w:val="00A269C9"/>
    <w:rsid w:val="00A31A1D"/>
    <w:rsid w:val="00A36D58"/>
    <w:rsid w:val="00A5089F"/>
    <w:rsid w:val="00A809F4"/>
    <w:rsid w:val="00AA62F4"/>
    <w:rsid w:val="00AB06E7"/>
    <w:rsid w:val="00AB1ADF"/>
    <w:rsid w:val="00AB21BA"/>
    <w:rsid w:val="00AC2BC0"/>
    <w:rsid w:val="00AC3697"/>
    <w:rsid w:val="00AD3E57"/>
    <w:rsid w:val="00AF5F65"/>
    <w:rsid w:val="00B018C8"/>
    <w:rsid w:val="00B26DC8"/>
    <w:rsid w:val="00B31E05"/>
    <w:rsid w:val="00B32D8A"/>
    <w:rsid w:val="00B51280"/>
    <w:rsid w:val="00B616D1"/>
    <w:rsid w:val="00B62F95"/>
    <w:rsid w:val="00B81792"/>
    <w:rsid w:val="00B946C3"/>
    <w:rsid w:val="00B94E3D"/>
    <w:rsid w:val="00BC63EA"/>
    <w:rsid w:val="00BD1AAA"/>
    <w:rsid w:val="00BE37A5"/>
    <w:rsid w:val="00BF4196"/>
    <w:rsid w:val="00C028DF"/>
    <w:rsid w:val="00C05A30"/>
    <w:rsid w:val="00C2631C"/>
    <w:rsid w:val="00C30370"/>
    <w:rsid w:val="00C7327B"/>
    <w:rsid w:val="00C737EB"/>
    <w:rsid w:val="00C76F88"/>
    <w:rsid w:val="00C9763B"/>
    <w:rsid w:val="00CC6021"/>
    <w:rsid w:val="00CE30FD"/>
    <w:rsid w:val="00CF420B"/>
    <w:rsid w:val="00CF4253"/>
    <w:rsid w:val="00D22171"/>
    <w:rsid w:val="00D22837"/>
    <w:rsid w:val="00D2394D"/>
    <w:rsid w:val="00D43045"/>
    <w:rsid w:val="00D71770"/>
    <w:rsid w:val="00D865A1"/>
    <w:rsid w:val="00D91F26"/>
    <w:rsid w:val="00D933E4"/>
    <w:rsid w:val="00DA20F6"/>
    <w:rsid w:val="00DC0ADD"/>
    <w:rsid w:val="00DC4354"/>
    <w:rsid w:val="00DE49B3"/>
    <w:rsid w:val="00DE64A3"/>
    <w:rsid w:val="00DF3080"/>
    <w:rsid w:val="00DF5C8C"/>
    <w:rsid w:val="00E0404B"/>
    <w:rsid w:val="00E13478"/>
    <w:rsid w:val="00E20D85"/>
    <w:rsid w:val="00E36CD9"/>
    <w:rsid w:val="00E37097"/>
    <w:rsid w:val="00E41585"/>
    <w:rsid w:val="00E4719A"/>
    <w:rsid w:val="00E53723"/>
    <w:rsid w:val="00E575EA"/>
    <w:rsid w:val="00E663C4"/>
    <w:rsid w:val="00EA0AA2"/>
    <w:rsid w:val="00EC62DE"/>
    <w:rsid w:val="00EE5D3F"/>
    <w:rsid w:val="00F014C5"/>
    <w:rsid w:val="00F01F86"/>
    <w:rsid w:val="00F137B7"/>
    <w:rsid w:val="00F249BE"/>
    <w:rsid w:val="00F30302"/>
    <w:rsid w:val="00F32BC2"/>
    <w:rsid w:val="00F401FF"/>
    <w:rsid w:val="00F43B9F"/>
    <w:rsid w:val="00F44621"/>
    <w:rsid w:val="00F53621"/>
    <w:rsid w:val="00FB2C42"/>
    <w:rsid w:val="00FB2EF7"/>
    <w:rsid w:val="00FC522D"/>
    <w:rsid w:val="00FC7FE5"/>
    <w:rsid w:val="00FE755C"/>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29EF"/>
  <w15:docId w15:val="{A633D206-15C8-4F68-9E00-708363B4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4"/>
    </w:rPr>
  </w:style>
  <w:style w:type="paragraph" w:styleId="a5">
    <w:name w:val="Body Text"/>
    <w:basedOn w:val="a"/>
    <w:link w:val="a6"/>
    <w:rPr>
      <w:i/>
      <w:sz w:val="20"/>
    </w:rPr>
  </w:style>
  <w:style w:type="character" w:customStyle="1" w:styleId="a6">
    <w:name w:val="Основной текст Знак"/>
    <w:basedOn w:val="1"/>
    <w:link w:val="a5"/>
    <w:rPr>
      <w:rFonts w:ascii="Times New Roman" w:hAnsi="Times New Roman"/>
      <w:i/>
      <w:sz w:val="20"/>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customStyle="1" w:styleId="12">
    <w:name w:val="Основной шрифт абзаца1"/>
  </w:style>
  <w:style w:type="character" w:customStyle="1" w:styleId="11">
    <w:name w:val="Заголовок 1 Знак"/>
    <w:link w:val="10"/>
    <w:rPr>
      <w:rFonts w:ascii="XO Thames" w:hAnsi="XO Thames"/>
      <w:b/>
      <w:sz w:val="32"/>
    </w:rPr>
  </w:style>
  <w:style w:type="paragraph" w:customStyle="1" w:styleId="13">
    <w:name w:val="Гиперссылка1"/>
    <w:link w:val="a9"/>
    <w:rPr>
      <w:color w:val="0000FF"/>
      <w:u w:val="single"/>
    </w:rPr>
  </w:style>
  <w:style w:type="character" w:styleId="a9">
    <w:name w:val="Hyperlink"/>
    <w:link w:val="1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rFonts w:ascii="Times New Roman" w:hAnsi="Times New Roman"/>
      <w:sz w:val="24"/>
    </w:rPr>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Subtitle"/>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0">
    <w:name w:val="Title"/>
    <w:link w:val="af1"/>
    <w:uiPriority w:val="10"/>
    <w:qFormat/>
    <w:rPr>
      <w:rFonts w:ascii="XO Thames" w:hAnsi="XO Thames"/>
      <w:b/>
      <w:sz w:val="52"/>
    </w:rPr>
  </w:style>
  <w:style w:type="character" w:customStyle="1" w:styleId="af1">
    <w:name w:val="Заголовок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210">
    <w:name w:val="Основной текст 21"/>
    <w:basedOn w:val="a"/>
    <w:uiPriority w:val="99"/>
    <w:rsid w:val="004C2CED"/>
    <w:rPr>
      <w:color w:val="auto"/>
      <w:sz w:val="28"/>
    </w:rPr>
  </w:style>
  <w:style w:type="paragraph" w:customStyle="1" w:styleId="23">
    <w:name w:val="Основной текст 23"/>
    <w:basedOn w:val="a"/>
    <w:rsid w:val="004C2CED"/>
    <w:rPr>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5B850D236E9B7F5BA8046ACA4B4015305B0C5DD8B1A0AAD29D2B9A9B45474C621A66B43F704010n5SBH" TargetMode="External"/><Relationship Id="rId5" Type="http://schemas.openxmlformats.org/officeDocument/2006/relationships/webSettings" Target="webSettings.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75483-3383-400D-B8F8-A89BD736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3</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TatarinovaOA</cp:lastModifiedBy>
  <cp:revision>38</cp:revision>
  <cp:lastPrinted>2020-03-31T08:34:00Z</cp:lastPrinted>
  <dcterms:created xsi:type="dcterms:W3CDTF">2019-07-01T08:36:00Z</dcterms:created>
  <dcterms:modified xsi:type="dcterms:W3CDTF">2020-04-28T09:28:00Z</dcterms:modified>
</cp:coreProperties>
</file>