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1C01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7589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p w:rsidR="00067404" w:rsidRDefault="00067404" w:rsidP="00067404">
      <w:pPr>
        <w:rPr>
          <w:b/>
          <w:sz w:val="28"/>
        </w:rPr>
      </w:pPr>
    </w:p>
    <w:p w:rsidR="00067404" w:rsidRDefault="00067404" w:rsidP="00577D57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291DFC" w:rsidRPr="00291DFC" w:rsidRDefault="00291DFC" w:rsidP="00577D57">
      <w:pPr>
        <w:tabs>
          <w:tab w:val="left" w:pos="0"/>
        </w:tabs>
        <w:spacing w:line="276" w:lineRule="auto"/>
        <w:jc w:val="center"/>
        <w:rPr>
          <w:rFonts w:eastAsia="Times New Roman" w:cs="Times New Roman"/>
          <w:b/>
          <w:sz w:val="28"/>
        </w:rPr>
      </w:pPr>
      <w:bookmarkStart w:id="0" w:name="_GoBack"/>
      <w:r w:rsidRPr="00291DFC">
        <w:rPr>
          <w:rFonts w:eastAsia="Times New Roman" w:cs="Times New Roman"/>
          <w:b/>
          <w:sz w:val="28"/>
        </w:rPr>
        <w:t>Заключение на проект изменений в муниципальную программу города Нефтеюганска «Профилактика терроризма в городе Нефтеюганске»</w:t>
      </w:r>
    </w:p>
    <w:bookmarkEnd w:id="0"/>
    <w:p w:rsidR="00291DFC" w:rsidRPr="00291DFC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b/>
          <w:sz w:val="28"/>
        </w:rPr>
      </w:pP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«Профилактика терроризма в городе Нефтеюганске» (далее по тексту – проект изменений), сообщает следующее: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lastRenderedPageBreak/>
        <w:tab/>
        <w:t>- требованиям, установленным нормативными правовыми актами в сфере управления проектной деятельностью.</w:t>
      </w:r>
    </w:p>
    <w:p w:rsidR="007144C7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2.</w:t>
      </w:r>
      <w:r w:rsidR="00291DFC" w:rsidRPr="00056A4F">
        <w:rPr>
          <w:rFonts w:eastAsia="Times New Roman" w:cs="Times New Roman"/>
          <w:sz w:val="28"/>
        </w:rPr>
        <w:tab/>
        <w:t>Предоставленный проект изменений соответствует Порядку от 18.04.2019 № 77-нп</w:t>
      </w:r>
      <w:r w:rsidR="007144C7">
        <w:rPr>
          <w:rFonts w:eastAsia="Times New Roman" w:cs="Times New Roman"/>
          <w:sz w:val="28"/>
        </w:rPr>
        <w:t>.</w:t>
      </w:r>
    </w:p>
    <w:p w:rsidR="00D57B95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3. Проектом изменений планируется</w:t>
      </w:r>
      <w:r w:rsidR="00D57B95">
        <w:rPr>
          <w:rFonts w:eastAsia="Times New Roman" w:cs="Times New Roman"/>
          <w:sz w:val="28"/>
        </w:rPr>
        <w:t xml:space="preserve"> увеличить </w:t>
      </w:r>
      <w:r w:rsidR="00D57B95" w:rsidRPr="00D57B95">
        <w:rPr>
          <w:rFonts w:eastAsia="Times New Roman" w:cs="Times New Roman"/>
          <w:sz w:val="28"/>
        </w:rPr>
        <w:t xml:space="preserve">бюджетные ассигнования </w:t>
      </w:r>
      <w:r w:rsidR="00D57B95">
        <w:rPr>
          <w:rFonts w:eastAsia="Times New Roman" w:cs="Times New Roman"/>
          <w:sz w:val="28"/>
        </w:rPr>
        <w:t xml:space="preserve">на 2020 год </w:t>
      </w:r>
      <w:r w:rsidR="00D57B95" w:rsidRPr="00D57B95">
        <w:rPr>
          <w:rFonts w:eastAsia="Times New Roman" w:cs="Times New Roman"/>
          <w:sz w:val="28"/>
        </w:rPr>
        <w:t xml:space="preserve">за счёт средств местного бюджета на общую сумму </w:t>
      </w:r>
      <w:r w:rsidR="00D57B95">
        <w:rPr>
          <w:rFonts w:eastAsia="Times New Roman" w:cs="Times New Roman"/>
          <w:sz w:val="28"/>
        </w:rPr>
        <w:t>778,368</w:t>
      </w:r>
      <w:r w:rsidR="00D57B95" w:rsidRPr="00D57B95">
        <w:rPr>
          <w:rFonts w:eastAsia="Times New Roman" w:cs="Times New Roman"/>
          <w:sz w:val="28"/>
        </w:rPr>
        <w:t xml:space="preserve"> тыс. рублей</w:t>
      </w:r>
      <w:r w:rsidR="00D57B95">
        <w:rPr>
          <w:rFonts w:eastAsia="Times New Roman" w:cs="Times New Roman"/>
          <w:sz w:val="28"/>
        </w:rPr>
        <w:t xml:space="preserve"> </w:t>
      </w:r>
      <w:r w:rsidR="00291DFC" w:rsidRPr="00056A4F">
        <w:rPr>
          <w:rFonts w:eastAsia="Times New Roman" w:cs="Times New Roman"/>
          <w:sz w:val="28"/>
        </w:rPr>
        <w:t>по основному мероприятию</w:t>
      </w:r>
      <w:r w:rsidR="00096A3D">
        <w:rPr>
          <w:rFonts w:eastAsia="Times New Roman" w:cs="Times New Roman"/>
          <w:sz w:val="28"/>
        </w:rPr>
        <w:t xml:space="preserve"> 3</w:t>
      </w:r>
      <w:r w:rsidR="00291DFC" w:rsidRPr="00056A4F">
        <w:rPr>
          <w:rFonts w:eastAsia="Times New Roman" w:cs="Times New Roman"/>
          <w:sz w:val="28"/>
        </w:rPr>
        <w:t>.1 «</w:t>
      </w:r>
      <w:r w:rsidR="00096A3D">
        <w:rPr>
          <w:rFonts w:eastAsia="Times New Roman" w:cs="Times New Roman"/>
          <w:sz w:val="28"/>
        </w:rPr>
        <w:t>Повышение уровня антитеррористической защищённости муниципальных объектов</w:t>
      </w:r>
      <w:r w:rsidR="00291DFC" w:rsidRPr="00056A4F">
        <w:rPr>
          <w:rFonts w:eastAsia="Times New Roman" w:cs="Times New Roman"/>
          <w:sz w:val="28"/>
        </w:rPr>
        <w:t xml:space="preserve">» </w:t>
      </w:r>
      <w:r w:rsidR="00096A3D">
        <w:rPr>
          <w:rFonts w:eastAsia="Times New Roman" w:cs="Times New Roman"/>
          <w:sz w:val="28"/>
        </w:rPr>
        <w:t>департаменту образования и молодёжной политики администрации города Нефтеюганска</w:t>
      </w:r>
      <w:r w:rsidR="00D57B95">
        <w:rPr>
          <w:rFonts w:eastAsia="Times New Roman" w:cs="Times New Roman"/>
          <w:sz w:val="28"/>
        </w:rPr>
        <w:t>:</w:t>
      </w:r>
    </w:p>
    <w:p w:rsidR="003E1EEE" w:rsidRDefault="003437A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- на поставку оборудования системы видеонаблюдения (видеорегистратор, жесткий диск) </w:t>
      </w:r>
      <w:r w:rsidR="003E1EEE">
        <w:rPr>
          <w:rFonts w:eastAsia="Times New Roman" w:cs="Times New Roman"/>
          <w:sz w:val="28"/>
        </w:rPr>
        <w:t xml:space="preserve">в сумме </w:t>
      </w:r>
      <w:r>
        <w:rPr>
          <w:rFonts w:eastAsia="Times New Roman" w:cs="Times New Roman"/>
          <w:sz w:val="28"/>
        </w:rPr>
        <w:t xml:space="preserve">48,480 </w:t>
      </w:r>
      <w:r w:rsidR="003E1EEE">
        <w:rPr>
          <w:rFonts w:eastAsia="Times New Roman" w:cs="Times New Roman"/>
          <w:sz w:val="28"/>
        </w:rPr>
        <w:t>тыс. рублей для МБ</w:t>
      </w:r>
      <w:r>
        <w:rPr>
          <w:rFonts w:eastAsia="Times New Roman" w:cs="Times New Roman"/>
          <w:sz w:val="28"/>
        </w:rPr>
        <w:t>Д</w:t>
      </w:r>
      <w:r w:rsidR="003E1EEE">
        <w:rPr>
          <w:rFonts w:eastAsia="Times New Roman" w:cs="Times New Roman"/>
          <w:sz w:val="28"/>
        </w:rPr>
        <w:t>ОУ «</w:t>
      </w:r>
      <w:r>
        <w:rPr>
          <w:rFonts w:eastAsia="Times New Roman" w:cs="Times New Roman"/>
          <w:sz w:val="28"/>
        </w:rPr>
        <w:t>Детский сад № 17 «Сказка</w:t>
      </w:r>
      <w:r w:rsidR="003E1EEE">
        <w:rPr>
          <w:rFonts w:eastAsia="Times New Roman" w:cs="Times New Roman"/>
          <w:sz w:val="28"/>
        </w:rPr>
        <w:t>»;</w:t>
      </w:r>
    </w:p>
    <w:p w:rsidR="003437A7" w:rsidRPr="003437A7" w:rsidRDefault="003E1EEE" w:rsidP="003437A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3437A7">
        <w:rPr>
          <w:rFonts w:eastAsia="Times New Roman" w:cs="Times New Roman"/>
          <w:sz w:val="28"/>
        </w:rPr>
        <w:t>-</w:t>
      </w:r>
      <w:r>
        <w:rPr>
          <w:rFonts w:eastAsia="Times New Roman" w:cs="Times New Roman"/>
          <w:sz w:val="28"/>
        </w:rPr>
        <w:t xml:space="preserve"> </w:t>
      </w:r>
      <w:r w:rsidRPr="003E1EEE">
        <w:rPr>
          <w:rFonts w:eastAsia="Times New Roman" w:cs="Times New Roman"/>
          <w:sz w:val="28"/>
        </w:rPr>
        <w:t xml:space="preserve">на поставку </w:t>
      </w:r>
      <w:r w:rsidR="003437A7">
        <w:rPr>
          <w:rFonts w:eastAsia="Times New Roman" w:cs="Times New Roman"/>
          <w:sz w:val="28"/>
        </w:rPr>
        <w:t xml:space="preserve">оборудования (видеодомофон на калитку, видеодомофоны, видеокамеры) </w:t>
      </w:r>
      <w:r w:rsidR="003437A7" w:rsidRPr="003437A7">
        <w:rPr>
          <w:rFonts w:eastAsia="Times New Roman" w:cs="Times New Roman"/>
          <w:sz w:val="28"/>
        </w:rPr>
        <w:t xml:space="preserve">в сумме </w:t>
      </w:r>
      <w:r w:rsidR="00C33986">
        <w:rPr>
          <w:rFonts w:eastAsia="Times New Roman" w:cs="Times New Roman"/>
          <w:sz w:val="28"/>
        </w:rPr>
        <w:t>543,190</w:t>
      </w:r>
      <w:r w:rsidR="003437A7" w:rsidRPr="003437A7">
        <w:rPr>
          <w:rFonts w:eastAsia="Times New Roman" w:cs="Times New Roman"/>
          <w:sz w:val="28"/>
        </w:rPr>
        <w:t xml:space="preserve"> тыс. рублей для М</w:t>
      </w:r>
      <w:r w:rsidR="003437A7">
        <w:rPr>
          <w:rFonts w:eastAsia="Times New Roman" w:cs="Times New Roman"/>
          <w:sz w:val="28"/>
        </w:rPr>
        <w:t>А</w:t>
      </w:r>
      <w:r w:rsidR="003437A7" w:rsidRPr="003437A7">
        <w:rPr>
          <w:rFonts w:eastAsia="Times New Roman" w:cs="Times New Roman"/>
          <w:sz w:val="28"/>
        </w:rPr>
        <w:t xml:space="preserve">ДОУ «Детский сад № </w:t>
      </w:r>
      <w:r w:rsidR="003437A7">
        <w:rPr>
          <w:rFonts w:eastAsia="Times New Roman" w:cs="Times New Roman"/>
          <w:sz w:val="28"/>
        </w:rPr>
        <w:t>32</w:t>
      </w:r>
      <w:r w:rsidR="003437A7" w:rsidRPr="003437A7">
        <w:rPr>
          <w:rFonts w:eastAsia="Times New Roman" w:cs="Times New Roman"/>
          <w:sz w:val="28"/>
        </w:rPr>
        <w:t xml:space="preserve"> «</w:t>
      </w:r>
      <w:r w:rsidR="003437A7">
        <w:rPr>
          <w:rFonts w:eastAsia="Times New Roman" w:cs="Times New Roman"/>
          <w:sz w:val="28"/>
        </w:rPr>
        <w:t>Белоснежка</w:t>
      </w:r>
      <w:r w:rsidR="003437A7" w:rsidRPr="003437A7">
        <w:rPr>
          <w:rFonts w:eastAsia="Times New Roman" w:cs="Times New Roman"/>
          <w:sz w:val="28"/>
        </w:rPr>
        <w:t>»;</w:t>
      </w:r>
    </w:p>
    <w:p w:rsidR="003437A7" w:rsidRDefault="00C33986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- на поставку оборудования (видеодомофон на калитку) </w:t>
      </w:r>
      <w:r w:rsidRPr="00C33986">
        <w:rPr>
          <w:rFonts w:eastAsia="Times New Roman" w:cs="Times New Roman"/>
          <w:sz w:val="28"/>
        </w:rPr>
        <w:t xml:space="preserve">в сумме </w:t>
      </w:r>
      <w:r w:rsidR="006875A5">
        <w:rPr>
          <w:rFonts w:eastAsia="Times New Roman" w:cs="Times New Roman"/>
          <w:sz w:val="28"/>
        </w:rPr>
        <w:t>186,698</w:t>
      </w:r>
      <w:r w:rsidRPr="00C33986">
        <w:rPr>
          <w:rFonts w:eastAsia="Times New Roman" w:cs="Times New Roman"/>
          <w:sz w:val="28"/>
        </w:rPr>
        <w:t xml:space="preserve"> тыс. рублей для М</w:t>
      </w:r>
      <w:r w:rsidR="006875A5">
        <w:rPr>
          <w:rFonts w:eastAsia="Times New Roman" w:cs="Times New Roman"/>
          <w:sz w:val="28"/>
        </w:rPr>
        <w:t>Б</w:t>
      </w:r>
      <w:r w:rsidRPr="00C33986">
        <w:rPr>
          <w:rFonts w:eastAsia="Times New Roman" w:cs="Times New Roman"/>
          <w:sz w:val="28"/>
        </w:rPr>
        <w:t>ОУ «</w:t>
      </w:r>
      <w:r w:rsidR="006875A5">
        <w:rPr>
          <w:rFonts w:eastAsia="Times New Roman" w:cs="Times New Roman"/>
          <w:sz w:val="28"/>
        </w:rPr>
        <w:t>СОШ № 6».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0C1EDB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По итогам проведения финансово-экономической экспертизы предлагаем направить проект изменений на утверждение</w:t>
      </w:r>
      <w:r w:rsidR="000C1EDB">
        <w:rPr>
          <w:rFonts w:eastAsia="Times New Roman" w:cs="Times New Roman"/>
          <w:sz w:val="28"/>
        </w:rPr>
        <w:t>.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 xml:space="preserve"> 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Pr="00056A4F" w:rsidRDefault="00A04DEE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Заместитель председателя</w:t>
      </w:r>
      <w:r w:rsidR="00291DFC" w:rsidRPr="00056A4F"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ab/>
        <w:t xml:space="preserve">                                           </w:t>
      </w:r>
      <w:r>
        <w:rPr>
          <w:rFonts w:eastAsia="Times New Roman" w:cs="Times New Roman"/>
          <w:sz w:val="28"/>
        </w:rPr>
        <w:t>Э.Н. Хуснуллина</w:t>
      </w:r>
      <w:r w:rsidR="00291DFC" w:rsidRPr="00056A4F">
        <w:rPr>
          <w:rFonts w:eastAsia="Times New Roman" w:cs="Times New Roman"/>
          <w:sz w:val="28"/>
        </w:rPr>
        <w:t xml:space="preserve"> 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64391" w:rsidRPr="00056A4F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056A4F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EB2F6A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Филатова Юлия Евгеньевна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</w:t>
      </w:r>
      <w:r w:rsidR="00EB2F6A">
        <w:rPr>
          <w:rFonts w:eastAsia="Times New Roman" w:cs="Times New Roman"/>
          <w:sz w:val="18"/>
        </w:rPr>
        <w:t>3948</w:t>
      </w:r>
    </w:p>
    <w:sectPr w:rsidR="00564391" w:rsidRPr="00564391" w:rsidSect="00EB40CD">
      <w:headerReference w:type="default" r:id="rId11"/>
      <w:pgSz w:w="11906" w:h="16838"/>
      <w:pgMar w:top="1134" w:right="567" w:bottom="1135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D60" w:rsidRDefault="00DA3D60">
      <w:r>
        <w:separator/>
      </w:r>
    </w:p>
  </w:endnote>
  <w:endnote w:type="continuationSeparator" w:id="0">
    <w:p w:rsidR="00DA3D60" w:rsidRDefault="00DA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D60" w:rsidRDefault="00DA3D60">
      <w:r>
        <w:separator/>
      </w:r>
    </w:p>
  </w:footnote>
  <w:footnote w:type="continuationSeparator" w:id="0">
    <w:p w:rsidR="00DA3D60" w:rsidRDefault="00DA3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700E1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07A9"/>
    <w:rsid w:val="00025C9C"/>
    <w:rsid w:val="000544C6"/>
    <w:rsid w:val="00056A4F"/>
    <w:rsid w:val="0006061C"/>
    <w:rsid w:val="0006192B"/>
    <w:rsid w:val="00066861"/>
    <w:rsid w:val="00067404"/>
    <w:rsid w:val="0007428C"/>
    <w:rsid w:val="000778AF"/>
    <w:rsid w:val="00096A3D"/>
    <w:rsid w:val="000B5AAC"/>
    <w:rsid w:val="000C1EDB"/>
    <w:rsid w:val="000E209B"/>
    <w:rsid w:val="001058DF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264FD"/>
    <w:rsid w:val="00240440"/>
    <w:rsid w:val="00255A59"/>
    <w:rsid w:val="00264AA1"/>
    <w:rsid w:val="002664D7"/>
    <w:rsid w:val="00291DFC"/>
    <w:rsid w:val="00292632"/>
    <w:rsid w:val="002E73C1"/>
    <w:rsid w:val="003002B7"/>
    <w:rsid w:val="003073A8"/>
    <w:rsid w:val="00307F21"/>
    <w:rsid w:val="00330BF2"/>
    <w:rsid w:val="003350C2"/>
    <w:rsid w:val="003378C7"/>
    <w:rsid w:val="003437A7"/>
    <w:rsid w:val="00391E80"/>
    <w:rsid w:val="003934A7"/>
    <w:rsid w:val="003C3FFD"/>
    <w:rsid w:val="003C7503"/>
    <w:rsid w:val="003E1EEE"/>
    <w:rsid w:val="0041652A"/>
    <w:rsid w:val="00417EDD"/>
    <w:rsid w:val="004249A6"/>
    <w:rsid w:val="00432785"/>
    <w:rsid w:val="004467B1"/>
    <w:rsid w:val="00463129"/>
    <w:rsid w:val="00486C6D"/>
    <w:rsid w:val="00487F2C"/>
    <w:rsid w:val="004D12BF"/>
    <w:rsid w:val="00531BD0"/>
    <w:rsid w:val="00535CB1"/>
    <w:rsid w:val="00564391"/>
    <w:rsid w:val="0057063C"/>
    <w:rsid w:val="00577D57"/>
    <w:rsid w:val="0059487C"/>
    <w:rsid w:val="00671B5A"/>
    <w:rsid w:val="006875A5"/>
    <w:rsid w:val="00687C2E"/>
    <w:rsid w:val="006A4ED7"/>
    <w:rsid w:val="006C434E"/>
    <w:rsid w:val="006D32BA"/>
    <w:rsid w:val="006D369B"/>
    <w:rsid w:val="00713FD8"/>
    <w:rsid w:val="007144C7"/>
    <w:rsid w:val="007275B9"/>
    <w:rsid w:val="00733A0D"/>
    <w:rsid w:val="0075508D"/>
    <w:rsid w:val="00795456"/>
    <w:rsid w:val="007D319D"/>
    <w:rsid w:val="00805908"/>
    <w:rsid w:val="0082138B"/>
    <w:rsid w:val="0084432C"/>
    <w:rsid w:val="008638AC"/>
    <w:rsid w:val="008648A7"/>
    <w:rsid w:val="00881315"/>
    <w:rsid w:val="008B7E27"/>
    <w:rsid w:val="008D1B2D"/>
    <w:rsid w:val="00922594"/>
    <w:rsid w:val="00935475"/>
    <w:rsid w:val="00956396"/>
    <w:rsid w:val="00976F67"/>
    <w:rsid w:val="009837DC"/>
    <w:rsid w:val="009B224B"/>
    <w:rsid w:val="009B4F69"/>
    <w:rsid w:val="009C36D7"/>
    <w:rsid w:val="00A04DEE"/>
    <w:rsid w:val="00A25EEB"/>
    <w:rsid w:val="00A34CA0"/>
    <w:rsid w:val="00A90245"/>
    <w:rsid w:val="00AD4A9C"/>
    <w:rsid w:val="00AE1BFC"/>
    <w:rsid w:val="00AF6AE8"/>
    <w:rsid w:val="00B06E84"/>
    <w:rsid w:val="00B92D36"/>
    <w:rsid w:val="00BA6B76"/>
    <w:rsid w:val="00BC03A4"/>
    <w:rsid w:val="00BD1DDB"/>
    <w:rsid w:val="00BF4A05"/>
    <w:rsid w:val="00C01DCE"/>
    <w:rsid w:val="00C33986"/>
    <w:rsid w:val="00C47B1F"/>
    <w:rsid w:val="00C53585"/>
    <w:rsid w:val="00C53D56"/>
    <w:rsid w:val="00C6333E"/>
    <w:rsid w:val="00C700E1"/>
    <w:rsid w:val="00C71F59"/>
    <w:rsid w:val="00C81B14"/>
    <w:rsid w:val="00C86951"/>
    <w:rsid w:val="00D072E4"/>
    <w:rsid w:val="00D10537"/>
    <w:rsid w:val="00D20B0F"/>
    <w:rsid w:val="00D256F3"/>
    <w:rsid w:val="00D55BF1"/>
    <w:rsid w:val="00D57B95"/>
    <w:rsid w:val="00D6080F"/>
    <w:rsid w:val="00DA3D60"/>
    <w:rsid w:val="00DC0B9D"/>
    <w:rsid w:val="00DD175C"/>
    <w:rsid w:val="00DE4C6C"/>
    <w:rsid w:val="00E43E96"/>
    <w:rsid w:val="00E676F8"/>
    <w:rsid w:val="00EB2F6A"/>
    <w:rsid w:val="00EB40CD"/>
    <w:rsid w:val="00EB43B3"/>
    <w:rsid w:val="00EE2C41"/>
    <w:rsid w:val="00F2110F"/>
    <w:rsid w:val="00F24994"/>
    <w:rsid w:val="00F5353E"/>
    <w:rsid w:val="00F655AE"/>
    <w:rsid w:val="00FC4214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63AAE-7E25-441B-B33A-333E0DED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10</cp:revision>
  <cp:lastPrinted>2020-03-13T06:45:00Z</cp:lastPrinted>
  <dcterms:created xsi:type="dcterms:W3CDTF">2020-03-13T07:18:00Z</dcterms:created>
  <dcterms:modified xsi:type="dcterms:W3CDTF">2020-04-28T10:34:00Z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