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23E512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8AB09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p w:rsidR="00067404" w:rsidRDefault="00067404" w:rsidP="00067404">
      <w:pPr>
        <w:rPr>
          <w:b/>
          <w:sz w:val="28"/>
        </w:rPr>
      </w:pPr>
    </w:p>
    <w:p w:rsidR="00107637" w:rsidRPr="00067404" w:rsidRDefault="003350C2" w:rsidP="00107637">
      <w:pPr>
        <w:spacing w:line="276" w:lineRule="auto"/>
        <w:rPr>
          <w:sz w:val="28"/>
        </w:rPr>
      </w:pPr>
      <w:r>
        <w:rPr>
          <w:sz w:val="28"/>
        </w:rPr>
        <w:t>исх. СП-125-0 от 13.03.2020</w:t>
      </w:r>
      <w:r w:rsidR="00056A4F">
        <w:rPr>
          <w:sz w:val="28"/>
        </w:rPr>
        <w:t xml:space="preserve">    </w:t>
      </w:r>
      <w:r w:rsidR="00D256F3">
        <w:rPr>
          <w:sz w:val="28"/>
        </w:rPr>
        <w:t xml:space="preserve">                               </w:t>
      </w:r>
    </w:p>
    <w:p w:rsidR="00067404" w:rsidRPr="00067404" w:rsidRDefault="00067404" w:rsidP="00577D57">
      <w:pPr>
        <w:spacing w:line="276" w:lineRule="auto"/>
        <w:ind w:left="4962"/>
        <w:rPr>
          <w:sz w:val="28"/>
        </w:rPr>
      </w:pPr>
    </w:p>
    <w:p w:rsidR="00067404" w:rsidRDefault="00067404" w:rsidP="00577D57">
      <w:pPr>
        <w:tabs>
          <w:tab w:val="left" w:pos="0"/>
        </w:tabs>
        <w:spacing w:line="276" w:lineRule="auto"/>
        <w:jc w:val="both"/>
        <w:rPr>
          <w:sz w:val="20"/>
        </w:rPr>
      </w:pPr>
      <w:bookmarkStart w:id="0" w:name="_GoBack"/>
      <w:bookmarkEnd w:id="0"/>
    </w:p>
    <w:p w:rsidR="00291DFC" w:rsidRPr="00291DFC" w:rsidRDefault="00291DFC" w:rsidP="00577D57">
      <w:pPr>
        <w:tabs>
          <w:tab w:val="left" w:pos="0"/>
        </w:tabs>
        <w:spacing w:line="276" w:lineRule="auto"/>
        <w:jc w:val="center"/>
        <w:rPr>
          <w:rFonts w:eastAsia="Times New Roman" w:cs="Times New Roman"/>
          <w:b/>
          <w:sz w:val="28"/>
        </w:rPr>
      </w:pPr>
      <w:r w:rsidRPr="00291DFC">
        <w:rPr>
          <w:rFonts w:eastAsia="Times New Roman" w:cs="Times New Roman"/>
          <w:b/>
          <w:sz w:val="28"/>
        </w:rPr>
        <w:t>Заключение на проект изменений в муниципальную программу города Нефтеюганска «Профилактика терроризма в городе Нефтеюганске»</w:t>
      </w:r>
    </w:p>
    <w:p w:rsidR="00291DFC" w:rsidRPr="00291DFC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b/>
          <w:sz w:val="28"/>
        </w:rPr>
      </w:pPr>
    </w:p>
    <w:p w:rsidR="00291DFC" w:rsidRPr="00056A4F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муниципальной программы города Нефтеюганска «Профилактика терроризма в городе Нефтеюганске» (далее по тексту – проект изменений), сообщает следующее:</w:t>
      </w:r>
    </w:p>
    <w:p w:rsidR="00291DFC" w:rsidRPr="00056A4F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291DFC" w:rsidRPr="00056A4F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291DFC" w:rsidRPr="00056A4F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tab/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tab/>
        <w:t>- программных мероприятий целям муниципальной программы;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tab/>
        <w:t>- сроков реализации муниципальной программы задачам;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lastRenderedPageBreak/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7144C7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2.</w:t>
      </w:r>
      <w:r w:rsidR="00291DFC" w:rsidRPr="00056A4F">
        <w:rPr>
          <w:rFonts w:eastAsia="Times New Roman" w:cs="Times New Roman"/>
          <w:sz w:val="28"/>
        </w:rPr>
        <w:tab/>
        <w:t>Предоставленный проект изменений соответствует Порядку от 18.04.2019 № 77-нп</w:t>
      </w:r>
      <w:r w:rsidR="007144C7">
        <w:rPr>
          <w:rFonts w:eastAsia="Times New Roman" w:cs="Times New Roman"/>
          <w:sz w:val="28"/>
        </w:rPr>
        <w:t>.</w:t>
      </w:r>
    </w:p>
    <w:p w:rsidR="00291DFC" w:rsidRPr="00056A4F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3. Проектом изменений планируется:</w:t>
      </w:r>
    </w:p>
    <w:p w:rsidR="00291DFC" w:rsidRPr="00056A4F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 xml:space="preserve">3.1. В паспорте муниципальной программы увеличить бюджетные ассигнования за счёт средств местного бюджета на общую сумму </w:t>
      </w:r>
      <w:r w:rsidR="007144C7">
        <w:rPr>
          <w:rFonts w:eastAsia="Times New Roman" w:cs="Times New Roman"/>
          <w:sz w:val="28"/>
        </w:rPr>
        <w:t>1</w:t>
      </w:r>
      <w:r w:rsidR="00BC03A4">
        <w:rPr>
          <w:rFonts w:eastAsia="Times New Roman" w:cs="Times New Roman"/>
          <w:sz w:val="28"/>
        </w:rPr>
        <w:t xml:space="preserve"> </w:t>
      </w:r>
      <w:r w:rsidR="007144C7">
        <w:rPr>
          <w:rFonts w:eastAsia="Times New Roman" w:cs="Times New Roman"/>
          <w:sz w:val="28"/>
        </w:rPr>
        <w:t>23</w:t>
      </w:r>
      <w:r w:rsidR="00291DFC" w:rsidRPr="00056A4F">
        <w:rPr>
          <w:rFonts w:eastAsia="Times New Roman" w:cs="Times New Roman"/>
          <w:sz w:val="28"/>
        </w:rPr>
        <w:t>1,</w:t>
      </w:r>
      <w:r w:rsidR="007144C7">
        <w:rPr>
          <w:rFonts w:eastAsia="Times New Roman" w:cs="Times New Roman"/>
          <w:sz w:val="28"/>
        </w:rPr>
        <w:t>941</w:t>
      </w:r>
      <w:r w:rsidR="00291DFC" w:rsidRPr="00056A4F">
        <w:rPr>
          <w:rFonts w:eastAsia="Times New Roman" w:cs="Times New Roman"/>
          <w:sz w:val="28"/>
        </w:rPr>
        <w:t xml:space="preserve"> тыс. рублей</w:t>
      </w:r>
      <w:r w:rsidR="007144C7">
        <w:rPr>
          <w:rFonts w:eastAsia="Times New Roman" w:cs="Times New Roman"/>
          <w:sz w:val="28"/>
        </w:rPr>
        <w:t>, в том числе</w:t>
      </w:r>
      <w:r w:rsidR="00BC03A4">
        <w:rPr>
          <w:rFonts w:eastAsia="Times New Roman" w:cs="Times New Roman"/>
          <w:sz w:val="28"/>
        </w:rPr>
        <w:t>:</w:t>
      </w:r>
      <w:r w:rsidR="007144C7">
        <w:rPr>
          <w:rFonts w:eastAsia="Times New Roman" w:cs="Times New Roman"/>
          <w:sz w:val="28"/>
        </w:rPr>
        <w:t xml:space="preserve"> за счёт средств бюджета автономного округа в сумме 600,000 тыс. рублей и за счёт средств местного бюджета в сумме 631,941 тыс. рублей.</w:t>
      </w:r>
    </w:p>
    <w:p w:rsidR="00096A3D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 xml:space="preserve">3.2. </w:t>
      </w:r>
      <w:r w:rsidR="00D20B0F">
        <w:rPr>
          <w:rFonts w:eastAsia="Times New Roman" w:cs="Times New Roman"/>
          <w:sz w:val="28"/>
        </w:rPr>
        <w:t>Таблицы 1, 2 муниципальной программы</w:t>
      </w:r>
      <w:r w:rsidR="00096A3D">
        <w:rPr>
          <w:rFonts w:eastAsia="Times New Roman" w:cs="Times New Roman"/>
          <w:sz w:val="28"/>
        </w:rPr>
        <w:t xml:space="preserve"> изложить в новой редакции.</w:t>
      </w:r>
    </w:p>
    <w:p w:rsidR="00096A3D" w:rsidRDefault="00096A3D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  <w:t xml:space="preserve">3.3. </w:t>
      </w:r>
      <w:r w:rsidR="00291DFC" w:rsidRPr="00056A4F">
        <w:rPr>
          <w:rFonts w:eastAsia="Times New Roman" w:cs="Times New Roman"/>
          <w:sz w:val="28"/>
        </w:rPr>
        <w:t>В таблице 2 «Перечень основных мероприятий муниципальной программы» по основному мероприятию</w:t>
      </w:r>
      <w:r>
        <w:rPr>
          <w:rFonts w:eastAsia="Times New Roman" w:cs="Times New Roman"/>
          <w:sz w:val="28"/>
        </w:rPr>
        <w:t xml:space="preserve"> 3</w:t>
      </w:r>
      <w:r w:rsidR="00291DFC" w:rsidRPr="00056A4F">
        <w:rPr>
          <w:rFonts w:eastAsia="Times New Roman" w:cs="Times New Roman"/>
          <w:sz w:val="28"/>
        </w:rPr>
        <w:t>.1 «</w:t>
      </w:r>
      <w:r>
        <w:rPr>
          <w:rFonts w:eastAsia="Times New Roman" w:cs="Times New Roman"/>
          <w:sz w:val="28"/>
        </w:rPr>
        <w:t>Повышение уровня антитеррористической защищённости муниципальных объектов</w:t>
      </w:r>
      <w:r w:rsidR="00291DFC" w:rsidRPr="00056A4F">
        <w:rPr>
          <w:rFonts w:eastAsia="Times New Roman" w:cs="Times New Roman"/>
          <w:sz w:val="28"/>
        </w:rPr>
        <w:t>» по</w:t>
      </w:r>
      <w:r w:rsidRPr="00096A3D">
        <w:rPr>
          <w:rFonts w:eastAsia="Times New Roman" w:cs="Times New Roman"/>
          <w:sz w:val="28"/>
        </w:rPr>
        <w:t xml:space="preserve"> </w:t>
      </w:r>
      <w:r w:rsidRPr="00056A4F">
        <w:rPr>
          <w:rFonts w:eastAsia="Times New Roman" w:cs="Times New Roman"/>
          <w:sz w:val="28"/>
        </w:rPr>
        <w:t>соисполнител</w:t>
      </w:r>
      <w:r w:rsidR="00BC03A4">
        <w:rPr>
          <w:rFonts w:eastAsia="Times New Roman" w:cs="Times New Roman"/>
          <w:sz w:val="28"/>
        </w:rPr>
        <w:t>ям</w:t>
      </w:r>
      <w:r w:rsidRPr="00056A4F">
        <w:rPr>
          <w:rFonts w:eastAsia="Times New Roman" w:cs="Times New Roman"/>
          <w:sz w:val="28"/>
        </w:rPr>
        <w:t xml:space="preserve"> муниципальной программы</w:t>
      </w:r>
      <w:r>
        <w:rPr>
          <w:rFonts w:eastAsia="Times New Roman" w:cs="Times New Roman"/>
          <w:sz w:val="28"/>
        </w:rPr>
        <w:t>:</w:t>
      </w:r>
    </w:p>
    <w:p w:rsidR="00096A3D" w:rsidRDefault="00096A3D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  <w:t>-</w:t>
      </w:r>
      <w:r w:rsidR="00291DFC" w:rsidRPr="00056A4F">
        <w:rPr>
          <w:rFonts w:eastAsia="Times New Roman" w:cs="Times New Roman"/>
          <w:sz w:val="28"/>
        </w:rPr>
        <w:t xml:space="preserve"> комитету </w:t>
      </w:r>
      <w:r>
        <w:rPr>
          <w:rFonts w:eastAsia="Times New Roman" w:cs="Times New Roman"/>
          <w:sz w:val="28"/>
        </w:rPr>
        <w:t>физической культуры и спорта</w:t>
      </w:r>
      <w:r w:rsidR="00291DFC" w:rsidRPr="00056A4F">
        <w:rPr>
          <w:rFonts w:eastAsia="Times New Roman" w:cs="Times New Roman"/>
          <w:sz w:val="28"/>
        </w:rPr>
        <w:t xml:space="preserve"> администрации города Нефтеюганска увеличить объём финансирования муниципальной программы </w:t>
      </w:r>
      <w:r w:rsidR="00C6333E" w:rsidRPr="00056A4F">
        <w:rPr>
          <w:rFonts w:eastAsia="Times New Roman" w:cs="Times New Roman"/>
          <w:sz w:val="28"/>
        </w:rPr>
        <w:t xml:space="preserve">за счёт средств </w:t>
      </w:r>
      <w:r w:rsidR="00C6333E">
        <w:rPr>
          <w:rFonts w:eastAsia="Times New Roman" w:cs="Times New Roman"/>
          <w:sz w:val="28"/>
        </w:rPr>
        <w:t>окружн</w:t>
      </w:r>
      <w:r w:rsidR="00C6333E" w:rsidRPr="00056A4F">
        <w:rPr>
          <w:rFonts w:eastAsia="Times New Roman" w:cs="Times New Roman"/>
          <w:sz w:val="28"/>
        </w:rPr>
        <w:t xml:space="preserve">ого </w:t>
      </w:r>
      <w:r w:rsidR="00C6333E" w:rsidRPr="00C6333E">
        <w:rPr>
          <w:rFonts w:eastAsia="Times New Roman" w:cs="Times New Roman"/>
          <w:sz w:val="28"/>
        </w:rPr>
        <w:t xml:space="preserve">бюджета </w:t>
      </w:r>
      <w:r w:rsidR="00DE4C6C">
        <w:rPr>
          <w:rFonts w:eastAsia="Times New Roman" w:cs="Times New Roman"/>
          <w:sz w:val="28"/>
        </w:rPr>
        <w:t xml:space="preserve">для МБУ «СШОР по единоборствам» (спортивный зал дзюдо, спортивный зал карате) </w:t>
      </w:r>
      <w:r w:rsidR="00291DFC" w:rsidRPr="00C6333E">
        <w:rPr>
          <w:rFonts w:eastAsia="Times New Roman" w:cs="Times New Roman"/>
          <w:sz w:val="28"/>
        </w:rPr>
        <w:t>на сумму</w:t>
      </w:r>
      <w:r w:rsidRPr="00C6333E">
        <w:rPr>
          <w:rFonts w:eastAsia="Times New Roman" w:cs="Times New Roman"/>
          <w:sz w:val="28"/>
        </w:rPr>
        <w:t xml:space="preserve"> 600,</w:t>
      </w:r>
      <w:r w:rsidR="00291DFC" w:rsidRPr="00C6333E">
        <w:rPr>
          <w:rFonts w:eastAsia="Times New Roman" w:cs="Times New Roman"/>
          <w:sz w:val="28"/>
        </w:rPr>
        <w:t>000 тыс. рублей на</w:t>
      </w:r>
      <w:r w:rsidR="00DE4C6C">
        <w:rPr>
          <w:rFonts w:eastAsia="Times New Roman" w:cs="Times New Roman"/>
          <w:sz w:val="28"/>
        </w:rPr>
        <w:t xml:space="preserve"> приобретение</w:t>
      </w:r>
      <w:r w:rsidRPr="00C6333E">
        <w:rPr>
          <w:rFonts w:eastAsia="Times New Roman" w:cs="Times New Roman"/>
          <w:sz w:val="28"/>
        </w:rPr>
        <w:t>:</w:t>
      </w:r>
    </w:p>
    <w:p w:rsidR="00DE4C6C" w:rsidRDefault="00DE4C6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  <w:t>* 2 уличных постов охраны (КПП) на сумму 436,667 тыс. рублей;</w:t>
      </w:r>
    </w:p>
    <w:p w:rsidR="00DE4C6C" w:rsidRDefault="00DE4C6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  <w:t>* 2 шлагбаумов на сумму 143,333 тыс. рублей;</w:t>
      </w:r>
    </w:p>
    <w:p w:rsidR="00DE4C6C" w:rsidRPr="00C6333E" w:rsidRDefault="00DE4C6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  <w:t xml:space="preserve">* 2 ручных </w:t>
      </w:r>
      <w:proofErr w:type="spellStart"/>
      <w:r>
        <w:rPr>
          <w:rFonts w:eastAsia="Times New Roman" w:cs="Times New Roman"/>
          <w:sz w:val="28"/>
        </w:rPr>
        <w:t>металлодетекторов</w:t>
      </w:r>
      <w:proofErr w:type="spellEnd"/>
      <w:r>
        <w:rPr>
          <w:rFonts w:eastAsia="Times New Roman" w:cs="Times New Roman"/>
          <w:sz w:val="28"/>
        </w:rPr>
        <w:t xml:space="preserve"> на сумму 20,000 тыс. рублей.</w:t>
      </w:r>
    </w:p>
    <w:p w:rsidR="00096A3D" w:rsidRDefault="00096A3D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Pr="00096A3D">
        <w:rPr>
          <w:rFonts w:eastAsia="Times New Roman" w:cs="Times New Roman"/>
          <w:sz w:val="28"/>
        </w:rPr>
        <w:t>-</w:t>
      </w:r>
      <w:r>
        <w:rPr>
          <w:rFonts w:eastAsia="Times New Roman" w:cs="Times New Roman"/>
          <w:sz w:val="28"/>
        </w:rPr>
        <w:t xml:space="preserve"> департаменту образования и молодёжной политики администрации города Нефтеюганска увеличить средства местного бюджета в сумме 631,941 тыс. рублей, в том числе:</w:t>
      </w:r>
    </w:p>
    <w:p w:rsidR="003E1EEE" w:rsidRDefault="00096A3D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  <w:t xml:space="preserve">* </w:t>
      </w:r>
      <w:r w:rsidRPr="00096A3D">
        <w:rPr>
          <w:rFonts w:eastAsia="Times New Roman" w:cs="Times New Roman"/>
          <w:sz w:val="28"/>
        </w:rPr>
        <w:t xml:space="preserve">на </w:t>
      </w:r>
      <w:r w:rsidR="003E1EEE">
        <w:rPr>
          <w:rFonts w:eastAsia="Times New Roman" w:cs="Times New Roman"/>
          <w:sz w:val="28"/>
        </w:rPr>
        <w:t>поставку расходных материалов для модернизации системы видеонаблюдения (видеокамеры) в сумме 43,050 тыс. рублей для МБОУ «СОКШ № 4»;</w:t>
      </w:r>
    </w:p>
    <w:p w:rsidR="00096A3D" w:rsidRDefault="003E1EEE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  <w:t xml:space="preserve">* </w:t>
      </w:r>
      <w:r w:rsidRPr="003E1EEE">
        <w:rPr>
          <w:rFonts w:eastAsia="Times New Roman" w:cs="Times New Roman"/>
          <w:sz w:val="28"/>
        </w:rPr>
        <w:t xml:space="preserve">на поставку </w:t>
      </w:r>
      <w:r>
        <w:rPr>
          <w:rFonts w:eastAsia="Times New Roman" w:cs="Times New Roman"/>
          <w:sz w:val="28"/>
        </w:rPr>
        <w:t>оборудования</w:t>
      </w:r>
      <w:r w:rsidRPr="003E1EEE">
        <w:rPr>
          <w:rFonts w:eastAsia="Times New Roman" w:cs="Times New Roman"/>
          <w:sz w:val="28"/>
        </w:rPr>
        <w:t xml:space="preserve"> для системы видеонаблюдения (видеокамеры</w:t>
      </w:r>
      <w:r>
        <w:rPr>
          <w:rFonts w:eastAsia="Times New Roman" w:cs="Times New Roman"/>
          <w:sz w:val="28"/>
        </w:rPr>
        <w:t>, видеорегистраторы</w:t>
      </w:r>
      <w:r w:rsidRPr="003E1EEE">
        <w:rPr>
          <w:rFonts w:eastAsia="Times New Roman" w:cs="Times New Roman"/>
          <w:sz w:val="28"/>
        </w:rPr>
        <w:t>)</w:t>
      </w:r>
      <w:r w:rsidRPr="003E1EEE">
        <w:t xml:space="preserve"> </w:t>
      </w:r>
      <w:r w:rsidRPr="003E1EEE">
        <w:rPr>
          <w:rFonts w:eastAsia="Times New Roman" w:cs="Times New Roman"/>
          <w:sz w:val="28"/>
        </w:rPr>
        <w:t xml:space="preserve">в сумме </w:t>
      </w:r>
      <w:r>
        <w:rPr>
          <w:rFonts w:eastAsia="Times New Roman" w:cs="Times New Roman"/>
          <w:sz w:val="28"/>
        </w:rPr>
        <w:t>347,340</w:t>
      </w:r>
      <w:r w:rsidRPr="003E1EEE">
        <w:rPr>
          <w:rFonts w:eastAsia="Times New Roman" w:cs="Times New Roman"/>
          <w:sz w:val="28"/>
        </w:rPr>
        <w:t xml:space="preserve"> тыс. рублей</w:t>
      </w:r>
      <w:r w:rsidRPr="003E1EEE">
        <w:t xml:space="preserve"> </w:t>
      </w:r>
      <w:r w:rsidRPr="003E1EEE">
        <w:rPr>
          <w:rFonts w:eastAsia="Times New Roman" w:cs="Times New Roman"/>
          <w:sz w:val="28"/>
        </w:rPr>
        <w:t>для МБОУ «СОКШ № 4»;</w:t>
      </w:r>
    </w:p>
    <w:p w:rsidR="003E1EEE" w:rsidRDefault="003E1EEE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Pr="003E1EEE">
        <w:rPr>
          <w:rFonts w:eastAsia="Times New Roman" w:cs="Times New Roman"/>
          <w:sz w:val="28"/>
        </w:rPr>
        <w:t xml:space="preserve">* на поставку оборудования системы </w:t>
      </w:r>
      <w:r>
        <w:rPr>
          <w:rFonts w:eastAsia="Times New Roman" w:cs="Times New Roman"/>
          <w:sz w:val="28"/>
        </w:rPr>
        <w:t>к</w:t>
      </w:r>
      <w:r w:rsidR="000544C6">
        <w:rPr>
          <w:rFonts w:eastAsia="Times New Roman" w:cs="Times New Roman"/>
          <w:sz w:val="28"/>
        </w:rPr>
        <w:t xml:space="preserve">онтроля и управления доступа </w:t>
      </w:r>
      <w:r>
        <w:rPr>
          <w:rFonts w:eastAsia="Times New Roman" w:cs="Times New Roman"/>
          <w:sz w:val="28"/>
        </w:rPr>
        <w:t>(вид</w:t>
      </w:r>
      <w:r w:rsidRPr="003E1EEE">
        <w:rPr>
          <w:rFonts w:eastAsia="Times New Roman" w:cs="Times New Roman"/>
          <w:sz w:val="28"/>
        </w:rPr>
        <w:t>ео</w:t>
      </w:r>
      <w:r>
        <w:rPr>
          <w:rFonts w:eastAsia="Times New Roman" w:cs="Times New Roman"/>
          <w:sz w:val="28"/>
        </w:rPr>
        <w:t>домофоны</w:t>
      </w:r>
      <w:r w:rsidRPr="003E1EEE">
        <w:rPr>
          <w:rFonts w:eastAsia="Times New Roman" w:cs="Times New Roman"/>
          <w:sz w:val="28"/>
        </w:rPr>
        <w:t xml:space="preserve">) в сумме </w:t>
      </w:r>
      <w:r>
        <w:rPr>
          <w:rFonts w:eastAsia="Times New Roman" w:cs="Times New Roman"/>
          <w:sz w:val="28"/>
        </w:rPr>
        <w:t>52,843</w:t>
      </w:r>
      <w:r w:rsidRPr="003E1EEE">
        <w:rPr>
          <w:rFonts w:eastAsia="Times New Roman" w:cs="Times New Roman"/>
          <w:sz w:val="28"/>
        </w:rPr>
        <w:t xml:space="preserve"> тыс. рублей</w:t>
      </w:r>
      <w:r w:rsidRPr="003E1EEE">
        <w:t xml:space="preserve"> </w:t>
      </w:r>
      <w:r w:rsidRPr="003E1EEE">
        <w:rPr>
          <w:rFonts w:eastAsia="Times New Roman" w:cs="Times New Roman"/>
          <w:sz w:val="28"/>
        </w:rPr>
        <w:t>для МБОУ «СОКШ № 4»;</w:t>
      </w:r>
    </w:p>
    <w:p w:rsidR="003E1EEE" w:rsidRDefault="003E1EEE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Pr="003E1EEE">
        <w:rPr>
          <w:rFonts w:eastAsia="Times New Roman" w:cs="Times New Roman"/>
          <w:sz w:val="28"/>
        </w:rPr>
        <w:t xml:space="preserve">* на поставку оборудования системы управления </w:t>
      </w:r>
      <w:r>
        <w:rPr>
          <w:rFonts w:eastAsia="Times New Roman" w:cs="Times New Roman"/>
          <w:sz w:val="28"/>
        </w:rPr>
        <w:t xml:space="preserve">и </w:t>
      </w:r>
      <w:r w:rsidRPr="003E1EEE">
        <w:rPr>
          <w:rFonts w:eastAsia="Times New Roman" w:cs="Times New Roman"/>
          <w:sz w:val="28"/>
        </w:rPr>
        <w:t>контроля доступ</w:t>
      </w:r>
      <w:r w:rsidR="000544C6">
        <w:rPr>
          <w:rFonts w:eastAsia="Times New Roman" w:cs="Times New Roman"/>
          <w:sz w:val="28"/>
        </w:rPr>
        <w:t>а</w:t>
      </w:r>
      <w:r w:rsidRPr="003E1EEE">
        <w:rPr>
          <w:rFonts w:eastAsia="Times New Roman" w:cs="Times New Roman"/>
          <w:sz w:val="28"/>
        </w:rPr>
        <w:t xml:space="preserve"> в сумме </w:t>
      </w:r>
      <w:r>
        <w:rPr>
          <w:rFonts w:eastAsia="Times New Roman" w:cs="Times New Roman"/>
          <w:sz w:val="28"/>
        </w:rPr>
        <w:t>188,708</w:t>
      </w:r>
      <w:r w:rsidRPr="003E1EEE">
        <w:rPr>
          <w:rFonts w:eastAsia="Times New Roman" w:cs="Times New Roman"/>
          <w:sz w:val="28"/>
        </w:rPr>
        <w:t xml:space="preserve"> тыс. рублей</w:t>
      </w:r>
      <w:r w:rsidRPr="003E1EEE">
        <w:t xml:space="preserve"> </w:t>
      </w:r>
      <w:r w:rsidRPr="003E1EEE">
        <w:rPr>
          <w:rFonts w:eastAsia="Times New Roman" w:cs="Times New Roman"/>
          <w:sz w:val="28"/>
        </w:rPr>
        <w:t>для МБОУ «</w:t>
      </w:r>
      <w:r>
        <w:rPr>
          <w:rFonts w:eastAsia="Times New Roman" w:cs="Times New Roman"/>
          <w:sz w:val="28"/>
        </w:rPr>
        <w:t xml:space="preserve">Школа развития </w:t>
      </w:r>
      <w:r w:rsidRPr="003E1EEE">
        <w:rPr>
          <w:rFonts w:eastAsia="Times New Roman" w:cs="Times New Roman"/>
          <w:sz w:val="28"/>
        </w:rPr>
        <w:t xml:space="preserve">№ </w:t>
      </w:r>
      <w:r>
        <w:rPr>
          <w:rFonts w:eastAsia="Times New Roman" w:cs="Times New Roman"/>
          <w:sz w:val="28"/>
        </w:rPr>
        <w:t>2</w:t>
      </w:r>
      <w:r w:rsidRPr="003E1EEE">
        <w:rPr>
          <w:rFonts w:eastAsia="Times New Roman" w:cs="Times New Roman"/>
          <w:sz w:val="28"/>
        </w:rPr>
        <w:t>4»</w:t>
      </w:r>
      <w:r>
        <w:rPr>
          <w:rFonts w:eastAsia="Times New Roman" w:cs="Times New Roman"/>
          <w:sz w:val="28"/>
        </w:rPr>
        <w:t>.</w:t>
      </w:r>
    </w:p>
    <w:p w:rsidR="00291DFC" w:rsidRPr="00056A4F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lastRenderedPageBreak/>
        <w:tab/>
      </w:r>
      <w:r w:rsidR="00291DFC" w:rsidRPr="00056A4F">
        <w:rPr>
          <w:rFonts w:eastAsia="Times New Roman" w:cs="Times New Roman"/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0C1EDB" w:rsidRDefault="00056A4F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ab/>
      </w:r>
      <w:r w:rsidR="00291DFC" w:rsidRPr="00056A4F">
        <w:rPr>
          <w:rFonts w:eastAsia="Times New Roman" w:cs="Times New Roman"/>
          <w:sz w:val="28"/>
        </w:rPr>
        <w:t>По итогам проведения финансово-экономической экспертизы предлагаем направить проект изменений на утверждение</w:t>
      </w:r>
      <w:r w:rsidR="000C1EDB">
        <w:rPr>
          <w:rFonts w:eastAsia="Times New Roman" w:cs="Times New Roman"/>
          <w:sz w:val="28"/>
        </w:rPr>
        <w:t>.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t xml:space="preserve"> 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  <w:r w:rsidRPr="00056A4F">
        <w:rPr>
          <w:rFonts w:eastAsia="Times New Roman" w:cs="Times New Roman"/>
          <w:sz w:val="28"/>
        </w:rPr>
        <w:t xml:space="preserve">Председатель </w:t>
      </w:r>
      <w:r w:rsidRPr="00056A4F">
        <w:rPr>
          <w:rFonts w:eastAsia="Times New Roman" w:cs="Times New Roman"/>
          <w:sz w:val="28"/>
        </w:rPr>
        <w:tab/>
      </w:r>
      <w:r w:rsidRPr="00056A4F">
        <w:rPr>
          <w:rFonts w:eastAsia="Times New Roman" w:cs="Times New Roman"/>
          <w:sz w:val="28"/>
        </w:rPr>
        <w:tab/>
      </w:r>
      <w:r w:rsidRPr="00056A4F">
        <w:rPr>
          <w:rFonts w:eastAsia="Times New Roman" w:cs="Times New Roman"/>
          <w:sz w:val="28"/>
        </w:rPr>
        <w:tab/>
      </w:r>
      <w:r w:rsidRPr="00056A4F">
        <w:rPr>
          <w:rFonts w:eastAsia="Times New Roman" w:cs="Times New Roman"/>
          <w:sz w:val="28"/>
        </w:rPr>
        <w:tab/>
      </w:r>
      <w:r w:rsidRPr="00056A4F">
        <w:rPr>
          <w:rFonts w:eastAsia="Times New Roman" w:cs="Times New Roman"/>
          <w:sz w:val="28"/>
        </w:rPr>
        <w:tab/>
        <w:t xml:space="preserve">                                           С.А. Гичкина </w:t>
      </w:r>
    </w:p>
    <w:p w:rsidR="00291DFC" w:rsidRPr="00056A4F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291DFC" w:rsidRDefault="00291DFC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EB40CD" w:rsidRDefault="00EB40CD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EB40CD" w:rsidRDefault="00EB40CD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EB40CD" w:rsidRDefault="00EB40CD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EB40CD" w:rsidRDefault="00EB40CD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577D57" w:rsidRDefault="00577D57" w:rsidP="00577D57">
      <w:pPr>
        <w:tabs>
          <w:tab w:val="left" w:pos="0"/>
        </w:tabs>
        <w:spacing w:line="276" w:lineRule="auto"/>
        <w:jc w:val="both"/>
        <w:rPr>
          <w:rFonts w:eastAsia="Times New Roman" w:cs="Times New Roman"/>
          <w:sz w:val="28"/>
        </w:rPr>
      </w:pPr>
    </w:p>
    <w:p w:rsidR="00291DFC" w:rsidRPr="00056A4F" w:rsidRDefault="00291DFC" w:rsidP="00291DFC">
      <w:pPr>
        <w:tabs>
          <w:tab w:val="left" w:pos="0"/>
        </w:tabs>
        <w:jc w:val="both"/>
        <w:rPr>
          <w:rFonts w:eastAsia="Times New Roman" w:cs="Times New Roman"/>
          <w:sz w:val="28"/>
        </w:rPr>
      </w:pPr>
    </w:p>
    <w:p w:rsidR="00564391" w:rsidRPr="00056A4F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056A4F">
        <w:rPr>
          <w:rFonts w:eastAsia="Times New Roman" w:cs="Times New Roman"/>
          <w:sz w:val="18"/>
        </w:rPr>
        <w:t>Исполнитель: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инспектор инспекторского отдела № 1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Счётной палаты города Нефтеюганска</w:t>
      </w:r>
    </w:p>
    <w:p w:rsidR="00564391" w:rsidRPr="00564391" w:rsidRDefault="008D1B2D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>
        <w:rPr>
          <w:rFonts w:eastAsia="Times New Roman" w:cs="Times New Roman"/>
          <w:sz w:val="18"/>
        </w:rPr>
        <w:t>Батаева Лариса Николаевна</w:t>
      </w:r>
    </w:p>
    <w:p w:rsidR="00564391" w:rsidRPr="00564391" w:rsidRDefault="008D1B2D" w:rsidP="00564391">
      <w:pPr>
        <w:tabs>
          <w:tab w:val="left" w:pos="0"/>
        </w:tabs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18"/>
        </w:rPr>
        <w:t>тел. 8 (3463) 20-30-63</w:t>
      </w:r>
    </w:p>
    <w:sectPr w:rsidR="00564391" w:rsidRPr="00564391" w:rsidSect="00EB40CD">
      <w:headerReference w:type="default" r:id="rId11"/>
      <w:pgSz w:w="11906" w:h="16838"/>
      <w:pgMar w:top="1134" w:right="567" w:bottom="1135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AE8" w:rsidRDefault="00AF6AE8">
      <w:r>
        <w:separator/>
      </w:r>
    </w:p>
  </w:endnote>
  <w:endnote w:type="continuationSeparator" w:id="0">
    <w:p w:rsidR="00AF6AE8" w:rsidRDefault="00AF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AE8" w:rsidRDefault="00AF6AE8">
      <w:r>
        <w:separator/>
      </w:r>
    </w:p>
  </w:footnote>
  <w:footnote w:type="continuationSeparator" w:id="0">
    <w:p w:rsidR="00AF6AE8" w:rsidRDefault="00AF6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07637">
      <w:rPr>
        <w:noProof/>
      </w:rPr>
      <w:t>3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AE40E2A"/>
    <w:multiLevelType w:val="multilevel"/>
    <w:tmpl w:val="1E224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AE446A"/>
    <w:multiLevelType w:val="multilevel"/>
    <w:tmpl w:val="AED6C5A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207A9"/>
    <w:rsid w:val="00025C9C"/>
    <w:rsid w:val="000544C6"/>
    <w:rsid w:val="00056A4F"/>
    <w:rsid w:val="0006061C"/>
    <w:rsid w:val="0006192B"/>
    <w:rsid w:val="00066861"/>
    <w:rsid w:val="00067404"/>
    <w:rsid w:val="0007428C"/>
    <w:rsid w:val="000778AF"/>
    <w:rsid w:val="00096A3D"/>
    <w:rsid w:val="000B5AAC"/>
    <w:rsid w:val="000C1EDB"/>
    <w:rsid w:val="000E209B"/>
    <w:rsid w:val="001058DF"/>
    <w:rsid w:val="00107637"/>
    <w:rsid w:val="00164B8E"/>
    <w:rsid w:val="001662BE"/>
    <w:rsid w:val="00172A27"/>
    <w:rsid w:val="0017770C"/>
    <w:rsid w:val="001B0E7C"/>
    <w:rsid w:val="001C04DA"/>
    <w:rsid w:val="001E4B4E"/>
    <w:rsid w:val="001F2AD9"/>
    <w:rsid w:val="00207D20"/>
    <w:rsid w:val="002264FD"/>
    <w:rsid w:val="00240440"/>
    <w:rsid w:val="00255A59"/>
    <w:rsid w:val="00264AA1"/>
    <w:rsid w:val="002664D7"/>
    <w:rsid w:val="00291DFC"/>
    <w:rsid w:val="00292632"/>
    <w:rsid w:val="002E73C1"/>
    <w:rsid w:val="003002B7"/>
    <w:rsid w:val="003073A8"/>
    <w:rsid w:val="00307F21"/>
    <w:rsid w:val="00330BF2"/>
    <w:rsid w:val="003350C2"/>
    <w:rsid w:val="003378C7"/>
    <w:rsid w:val="00391E80"/>
    <w:rsid w:val="003C3FFD"/>
    <w:rsid w:val="003C7503"/>
    <w:rsid w:val="003E1EEE"/>
    <w:rsid w:val="0041652A"/>
    <w:rsid w:val="00417EDD"/>
    <w:rsid w:val="004249A6"/>
    <w:rsid w:val="00432785"/>
    <w:rsid w:val="004467B1"/>
    <w:rsid w:val="00463129"/>
    <w:rsid w:val="00486C6D"/>
    <w:rsid w:val="00487F2C"/>
    <w:rsid w:val="004D12BF"/>
    <w:rsid w:val="00531BD0"/>
    <w:rsid w:val="00535CB1"/>
    <w:rsid w:val="00564391"/>
    <w:rsid w:val="0057063C"/>
    <w:rsid w:val="00577D57"/>
    <w:rsid w:val="0059487C"/>
    <w:rsid w:val="00671B5A"/>
    <w:rsid w:val="00687C2E"/>
    <w:rsid w:val="006A4ED7"/>
    <w:rsid w:val="006C434E"/>
    <w:rsid w:val="006D32BA"/>
    <w:rsid w:val="006D369B"/>
    <w:rsid w:val="00713FD8"/>
    <w:rsid w:val="007144C7"/>
    <w:rsid w:val="007275B9"/>
    <w:rsid w:val="00733A0D"/>
    <w:rsid w:val="0075508D"/>
    <w:rsid w:val="00795456"/>
    <w:rsid w:val="007D319D"/>
    <w:rsid w:val="00805908"/>
    <w:rsid w:val="0082138B"/>
    <w:rsid w:val="0084432C"/>
    <w:rsid w:val="008638AC"/>
    <w:rsid w:val="008648A7"/>
    <w:rsid w:val="00881315"/>
    <w:rsid w:val="008B7E27"/>
    <w:rsid w:val="008D1B2D"/>
    <w:rsid w:val="00922594"/>
    <w:rsid w:val="00935475"/>
    <w:rsid w:val="00956396"/>
    <w:rsid w:val="00976F67"/>
    <w:rsid w:val="009837DC"/>
    <w:rsid w:val="009B224B"/>
    <w:rsid w:val="009B4F69"/>
    <w:rsid w:val="009C36D7"/>
    <w:rsid w:val="00A25EEB"/>
    <w:rsid w:val="00A34CA0"/>
    <w:rsid w:val="00A90245"/>
    <w:rsid w:val="00AD4A9C"/>
    <w:rsid w:val="00AE1BFC"/>
    <w:rsid w:val="00AF6AE8"/>
    <w:rsid w:val="00B06E84"/>
    <w:rsid w:val="00B92D36"/>
    <w:rsid w:val="00BA6B76"/>
    <w:rsid w:val="00BC03A4"/>
    <w:rsid w:val="00BD1DDB"/>
    <w:rsid w:val="00BF4A05"/>
    <w:rsid w:val="00C01DCE"/>
    <w:rsid w:val="00C47B1F"/>
    <w:rsid w:val="00C53585"/>
    <w:rsid w:val="00C6333E"/>
    <w:rsid w:val="00C71F59"/>
    <w:rsid w:val="00C81B14"/>
    <w:rsid w:val="00C86951"/>
    <w:rsid w:val="00D072E4"/>
    <w:rsid w:val="00D10537"/>
    <w:rsid w:val="00D20B0F"/>
    <w:rsid w:val="00D256F3"/>
    <w:rsid w:val="00D55BF1"/>
    <w:rsid w:val="00D6080F"/>
    <w:rsid w:val="00DC0B9D"/>
    <w:rsid w:val="00DD175C"/>
    <w:rsid w:val="00DE4C6C"/>
    <w:rsid w:val="00E43E96"/>
    <w:rsid w:val="00E676F8"/>
    <w:rsid w:val="00EB40CD"/>
    <w:rsid w:val="00EB43B3"/>
    <w:rsid w:val="00EE2C41"/>
    <w:rsid w:val="00F2110F"/>
    <w:rsid w:val="00F24994"/>
    <w:rsid w:val="00F5353E"/>
    <w:rsid w:val="00F655AE"/>
    <w:rsid w:val="00FC4214"/>
    <w:rsid w:val="00FE1E86"/>
    <w:rsid w:val="00FF79B9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39E68-124B-431C-A187-E8196005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TatarinovaOA</cp:lastModifiedBy>
  <cp:revision>3</cp:revision>
  <cp:lastPrinted>2020-03-13T06:45:00Z</cp:lastPrinted>
  <dcterms:created xsi:type="dcterms:W3CDTF">2020-03-13T07:18:00Z</dcterms:created>
  <dcterms:modified xsi:type="dcterms:W3CDTF">2020-04-28T10:23:00Z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