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B1F" w:rsidRDefault="00D55BF1">
      <w:pPr>
        <w:jc w:val="center"/>
      </w:pPr>
      <w:r>
        <w:rPr>
          <w:noProof/>
        </w:rPr>
        <w:drawing>
          <wp:inline distT="0" distB="0" distL="114300" distR="114300">
            <wp:extent cx="822960" cy="1030605"/>
            <wp:effectExtent l="0" t="0" r="15240" b="17145"/>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ic:nvPicPr>
                  <pic:blipFill>
                    <a:blip r:embed="rId9"/>
                    <a:stretch>
                      <a:fillRect/>
                    </a:stretch>
                  </pic:blipFill>
                  <pic:spPr>
                    <a:xfrm>
                      <a:off x="0" y="0"/>
                      <a:ext cx="822960" cy="1030605"/>
                    </a:xfrm>
                    <a:prstGeom prst="rect">
                      <a:avLst/>
                    </a:prstGeom>
                  </pic:spPr>
                </pic:pic>
              </a:graphicData>
            </a:graphic>
          </wp:inline>
        </w:drawing>
      </w:r>
    </w:p>
    <w:p w:rsidR="00C47B1F" w:rsidRDefault="00C47B1F">
      <w:pPr>
        <w:jc w:val="center"/>
      </w:pPr>
    </w:p>
    <w:p w:rsidR="00C47B1F" w:rsidRDefault="00D55BF1">
      <w:pPr>
        <w:jc w:val="center"/>
        <w:rPr>
          <w:b/>
          <w:sz w:val="32"/>
        </w:rPr>
      </w:pPr>
      <w:r>
        <w:rPr>
          <w:b/>
          <w:sz w:val="32"/>
        </w:rPr>
        <w:t>СЧЁТНАЯ ПАЛАТА</w:t>
      </w:r>
    </w:p>
    <w:p w:rsidR="00C47B1F" w:rsidRDefault="00D55BF1">
      <w:pPr>
        <w:jc w:val="center"/>
        <w:rPr>
          <w:b/>
          <w:sz w:val="32"/>
        </w:rPr>
      </w:pPr>
      <w:r>
        <w:rPr>
          <w:b/>
          <w:sz w:val="32"/>
        </w:rPr>
        <w:t>ГОРОДА НЕФТЕЮГАНСКА</w:t>
      </w:r>
    </w:p>
    <w:p w:rsidR="00C47B1F" w:rsidRDefault="00C47B1F">
      <w:pPr>
        <w:jc w:val="center"/>
        <w:rPr>
          <w:b/>
          <w:sz w:val="32"/>
        </w:rPr>
      </w:pPr>
    </w:p>
    <w:p w:rsidR="00C47B1F" w:rsidRDefault="00D55BF1">
      <w:pPr>
        <w:jc w:val="center"/>
        <w:rPr>
          <w:b/>
          <w:sz w:val="18"/>
        </w:rPr>
      </w:pPr>
      <w:r>
        <w:rPr>
          <w:b/>
          <w:sz w:val="18"/>
        </w:rPr>
        <w:t xml:space="preserve">16 микрорайон, 23 дом, помещение 97, г. Нефтеюганск, </w:t>
      </w:r>
      <w:r>
        <w:rPr>
          <w:b/>
          <w:sz w:val="18"/>
        </w:rPr>
        <w:br/>
        <w:t xml:space="preserve">Ханты-Мансийский автономный округ - Югра (Тюменская область), 628310  </w:t>
      </w:r>
    </w:p>
    <w:p w:rsidR="00C47B1F" w:rsidRPr="00C01B00" w:rsidRDefault="00D55BF1" w:rsidP="00C01B00">
      <w:pPr>
        <w:jc w:val="center"/>
        <w:rPr>
          <w:b/>
          <w:color w:val="auto"/>
          <w:sz w:val="18"/>
        </w:rPr>
      </w:pPr>
      <w:r>
        <w:rPr>
          <w:b/>
          <w:sz w:val="18"/>
        </w:rPr>
        <w:t>тел./факс (3463) 20-30-55, 20-30-63 E-</w:t>
      </w:r>
      <w:proofErr w:type="spellStart"/>
      <w:r>
        <w:rPr>
          <w:b/>
          <w:sz w:val="18"/>
        </w:rPr>
        <w:t>mail</w:t>
      </w:r>
      <w:proofErr w:type="spellEnd"/>
      <w:r>
        <w:rPr>
          <w:b/>
          <w:sz w:val="18"/>
        </w:rPr>
        <w:t xml:space="preserve">: </w:t>
      </w:r>
      <w:hyperlink r:id="rId10" w:history="1">
        <w:r w:rsidRPr="00C01B00">
          <w:rPr>
            <w:b/>
            <w:color w:val="auto"/>
            <w:sz w:val="18"/>
          </w:rPr>
          <w:t>sp-ugansk@mail.ru</w:t>
        </w:r>
      </w:hyperlink>
      <w:hyperlink r:id="rId11" w:history="1">
        <w:r w:rsidRPr="00C01B00">
          <w:rPr>
            <w:rStyle w:val="a9"/>
            <w:b/>
            <w:color w:val="auto"/>
            <w:sz w:val="18"/>
            <w:u w:val="none"/>
          </w:rPr>
          <w:t>www.admugansk.ru</w:t>
        </w:r>
      </w:hyperlink>
      <w:r w:rsidR="001967F7" w:rsidRPr="00C01B00">
        <w:rPr>
          <w:rFonts w:cs="Times New Roman"/>
          <w:noProof/>
          <w:color w:val="auto"/>
        </w:rPr>
        <mc:AlternateContent>
          <mc:Choice Requires="wps">
            <w:drawing>
              <wp:anchor distT="0" distB="0" distL="114300" distR="114300" simplePos="0" relativeHeight="251658240" behindDoc="0" locked="0" layoutInCell="0" allowOverlap="1">
                <wp:simplePos x="0" y="0"/>
                <wp:positionH relativeFrom="column">
                  <wp:posOffset>71755</wp:posOffset>
                </wp:positionH>
                <wp:positionV relativeFrom="paragraph">
                  <wp:posOffset>166370</wp:posOffset>
                </wp:positionV>
                <wp:extent cx="5925820" cy="635"/>
                <wp:effectExtent l="0" t="0" r="17780" b="374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FD8623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3.1pt" to="472.2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5dEgIAACoEAAAOAAAAZHJzL2Uyb0RvYy54bWysU8uu2yAQ3VfqPyD2iR95NLHiXFV20s1t&#10;G+nefgABHKNiQEDiRFX/vQNxopt2U1X1Ag8wc+bMnGH1dO4kOnHrhFYlzsYpRlxRzYQ6lPjb63a0&#10;wMh5ohiRWvESX7jDT+v371a9KXiuWy0ZtwhAlCt6U+LWe1MkiaMt74gba8MVXDbadsTD1h4SZkkP&#10;6J1M8jSdJ722zFhNuXNwWl8v8TriNw2n/mvTOO6RLDFw83G1cd2HNVmvSHGwxLSCDjTIP7DoiFCQ&#10;9A5VE0/Q0Yo/oDpBrXa68WOqu0Q3jaA81gDVZOlv1by0xPBYCzTHmXub3P+DpV9OO4sEK3GOkSId&#10;SPQsFEeT0JneuAIcKrWzoTZ6Vi/mWdPvDildtUQdeGT4ejEQloWI5CEkbJwB/H3/WTPwIUevY5vO&#10;je0CJDQAnaMal7sa/OwRhcPZMp8tchCNwt18Mov4pLiFGuv8J647FIwSS2Adocnp2flAhRQ3l5BJ&#10;6a2QMsotFeojYhoDnJaChcvg5uxhX0mLTiQMTPyGvA9uVh8Vi2AtJ2wz2J4IebUhuVQBD4oBOoN1&#10;nYgfy3S5WWwW09E0n29G07SuRx+31XQ032YfZvWkrqo6+xmoZdOiFYxxFdjdpjOb/p36wzu5ztV9&#10;Pu9tSB7RY7+A7O0fSUc1g4DXUdhrdtnZm8owkNF5eDxh4t/uwX77xNe/AAAA//8DAFBLAwQUAAYA&#10;CAAAACEAW2+sHtwAAAAIAQAADwAAAGRycy9kb3ducmV2LnhtbEyPwU7DMBBE70j8g7VI3KiTtKna&#10;EKdCSEFcOFAQZzc2SYS9jmw3Dnw92xMcZ2c0+6Y+LNawWfswOhSQrzJgGjunRuwFvL+1dztgIUpU&#10;0jjUAr51gENzfVXLSrmEr3o+xp5RCYZKChhinCrOQzdoK8PKTRrJ+3TeykjS91x5majcGl5k2ZZb&#10;OSJ9GOSkHwfdfR3PVgDm8cOkFNPsf8qnMi/b5+ylFeL2Znm4Bxb1Ev/CcMEndGiI6eTOqAIzpPM1&#10;JQUU2wIY+fvNpgR2uhzWwJua/x/Q/AIAAP//AwBQSwECLQAUAAYACAAAACEAtoM4kv4AAADhAQAA&#10;EwAAAAAAAAAAAAAAAAAAAAAAW0NvbnRlbnRfVHlwZXNdLnhtbFBLAQItABQABgAIAAAAIQA4/SH/&#10;1gAAAJQBAAALAAAAAAAAAAAAAAAAAC8BAABfcmVscy8ucmVsc1BLAQItABQABgAIAAAAIQAmAg5d&#10;EgIAACoEAAAOAAAAAAAAAAAAAAAAAC4CAABkcnMvZTJvRG9jLnhtbFBLAQItABQABgAIAAAAIQBb&#10;b6we3AAAAAgBAAAPAAAAAAAAAAAAAAAAAGwEAABkcnMvZG93bnJldi54bWxQSwUGAAAAAAQABADz&#10;AAAAdQUAAAAA&#10;" o:allowincell="f" strokeweight=".5pt"/>
            </w:pict>
          </mc:Fallback>
        </mc:AlternateContent>
      </w:r>
      <w:r w:rsidR="001967F7" w:rsidRPr="00C01B00">
        <w:rPr>
          <w:rFonts w:cs="Times New Roman"/>
          <w:noProof/>
          <w:color w:val="auto"/>
        </w:rPr>
        <mc:AlternateContent>
          <mc:Choice Requires="wps">
            <w:drawing>
              <wp:anchor distT="0" distB="0" distL="114300" distR="114300" simplePos="0" relativeHeight="251657216" behindDoc="0" locked="0" layoutInCell="0" allowOverlap="1">
                <wp:simplePos x="0" y="0"/>
                <wp:positionH relativeFrom="column">
                  <wp:posOffset>71755</wp:posOffset>
                </wp:positionH>
                <wp:positionV relativeFrom="paragraph">
                  <wp:posOffset>130810</wp:posOffset>
                </wp:positionV>
                <wp:extent cx="5907405" cy="4445"/>
                <wp:effectExtent l="0" t="0" r="17145" b="336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44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4AF9B88"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0.3pt" to="470.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1oXFg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PGCnS&#10;wYieheJoEjrTG1eAQ6W2NtRGT+rVPGv63SGlq5aoPY8M384GwrIQkdyFhI0zgL/rv2gGPuTgdWzT&#10;qbFdgIQGoFOcxvk2DX7yiMLhdJE+5ukUIwp3eZ5PYwJSXGONdf4z1x0KRokl0I7Y5PjsfOBCiqtL&#10;SKX0RkgZ5y0V6ks8meZpGiOcloKF2+Dn7H5XSYuOJEgmfkPiOzerD4pFtJYTth5sT4S82JBdqoAH&#10;5QCfwbpo4sciXazn63k+yiez9ShP63r0aVPlo9kme5zWD3VV1dnPQC3Li1YwxlVgd9Vnlv/d/IeX&#10;clHWTaG3PiT36LFhQPb6j6TjPMMIL2LYaXbe2uucQZLReXg+QfPv92C/f+SrXwAAAP//AwBQSwME&#10;FAAGAAgAAAAhAGBqBFTcAAAACAEAAA8AAABkcnMvZG93bnJldi54bWxMj0FPwzAMhe9I/IfISNxY&#10;2oHGKE0nNA3twGUUJK5uE5qqjVOSbCv/HnOCm5+/p+fncjO7UZxMiL0nBfkiA2Go9bqnTsH72/PN&#10;GkRMSBpHT0bBt4mwqS4vSiy0P9OrOdWpExxCsUAFNqWpkDK21jiMCz8ZYvbpg8PEMnRSBzxzuBvl&#10;MstW0mFPfMHiZLbWtEN9dArGXTOH9WGo7f7wMnx97HB/v0Wlrq/mp0cQyczpzwy/9bk6VNyp8UfS&#10;UYys81t2KlhmKxDMH+5yHhpeMJBVKf8/UP0AAAD//wMAUEsBAi0AFAAGAAgAAAAhALaDOJL+AAAA&#10;4QEAABMAAAAAAAAAAAAAAAAAAAAAAFtDb250ZW50X1R5cGVzXS54bWxQSwECLQAUAAYACAAAACEA&#10;OP0h/9YAAACUAQAACwAAAAAAAAAAAAAAAAAvAQAAX3JlbHMvLnJlbHNQSwECLQAUAAYACAAAACEA&#10;VrNaFxYCAAAsBAAADgAAAAAAAAAAAAAAAAAuAgAAZHJzL2Uyb0RvYy54bWxQSwECLQAUAAYACAAA&#10;ACEAYGoEVNwAAAAIAQAADwAAAAAAAAAAAAAAAABwBAAAZHJzL2Rvd25yZXYueG1sUEsFBgAAAAAE&#10;AAQA8wAAAHkFAAAAAA==&#10;" o:allowincell="f" strokeweight="2pt"/>
            </w:pict>
          </mc:Fallback>
        </mc:AlternateContent>
      </w:r>
    </w:p>
    <w:tbl>
      <w:tblPr>
        <w:tblpPr w:leftFromText="180" w:rightFromText="180" w:vertAnchor="text" w:horzAnchor="page" w:tblpX="1820" w:tblpY="376"/>
        <w:tblOverlap w:val="never"/>
        <w:tblW w:w="9889" w:type="dxa"/>
        <w:tblLayout w:type="fixed"/>
        <w:tblLook w:val="04A0" w:firstRow="1" w:lastRow="0" w:firstColumn="1" w:lastColumn="0" w:noHBand="0" w:noVBand="1"/>
      </w:tblPr>
      <w:tblGrid>
        <w:gridCol w:w="4928"/>
        <w:gridCol w:w="4961"/>
      </w:tblGrid>
      <w:tr w:rsidR="00C47B1F">
        <w:tc>
          <w:tcPr>
            <w:tcW w:w="4928" w:type="dxa"/>
          </w:tcPr>
          <w:p w:rsidR="00C47B1F" w:rsidRDefault="00933370" w:rsidP="00616718">
            <w:pPr>
              <w:spacing w:line="276" w:lineRule="auto"/>
              <w:jc w:val="both"/>
              <w:rPr>
                <w:sz w:val="28"/>
              </w:rPr>
            </w:pPr>
            <w:r>
              <w:rPr>
                <w:sz w:val="28"/>
              </w:rPr>
              <w:t xml:space="preserve">от </w:t>
            </w:r>
            <w:r w:rsidR="00C01B00">
              <w:rPr>
                <w:sz w:val="28"/>
              </w:rPr>
              <w:t>1</w:t>
            </w:r>
            <w:r w:rsidR="006D4727">
              <w:rPr>
                <w:sz w:val="28"/>
              </w:rPr>
              <w:t>7</w:t>
            </w:r>
            <w:r w:rsidR="00844D55">
              <w:rPr>
                <w:sz w:val="28"/>
              </w:rPr>
              <w:t>.</w:t>
            </w:r>
            <w:r w:rsidR="00C01B00">
              <w:rPr>
                <w:sz w:val="28"/>
              </w:rPr>
              <w:t>02</w:t>
            </w:r>
            <w:r>
              <w:rPr>
                <w:sz w:val="28"/>
              </w:rPr>
              <w:t>.20</w:t>
            </w:r>
            <w:r w:rsidR="00C01B00">
              <w:rPr>
                <w:sz w:val="28"/>
              </w:rPr>
              <w:t xml:space="preserve">20 № </w:t>
            </w:r>
            <w:proofErr w:type="spellStart"/>
            <w:r w:rsidR="00C01B00">
              <w:rPr>
                <w:sz w:val="28"/>
              </w:rPr>
              <w:t>Исх.СП</w:t>
            </w:r>
            <w:proofErr w:type="spellEnd"/>
            <w:r w:rsidR="00C01B00">
              <w:rPr>
                <w:sz w:val="28"/>
              </w:rPr>
              <w:t xml:space="preserve">- </w:t>
            </w:r>
            <w:r w:rsidR="00616718">
              <w:rPr>
                <w:sz w:val="28"/>
              </w:rPr>
              <w:t>74</w:t>
            </w:r>
            <w:bookmarkStart w:id="0" w:name="_GoBack"/>
            <w:bookmarkEnd w:id="0"/>
            <w:r w:rsidR="00C01B00">
              <w:rPr>
                <w:sz w:val="28"/>
              </w:rPr>
              <w:t>-0</w:t>
            </w:r>
          </w:p>
        </w:tc>
        <w:tc>
          <w:tcPr>
            <w:tcW w:w="4961" w:type="dxa"/>
          </w:tcPr>
          <w:p w:rsidR="00C47B1F" w:rsidRDefault="00C01B00" w:rsidP="00C41148">
            <w:pPr>
              <w:rPr>
                <w:sz w:val="28"/>
              </w:rPr>
            </w:pPr>
            <w:r>
              <w:rPr>
                <w:sz w:val="28"/>
              </w:rPr>
              <w:t>Директору департамента градостроительства и земельных отношений администрации города Нефтеюганска</w:t>
            </w:r>
          </w:p>
          <w:p w:rsidR="00C01B00" w:rsidRDefault="00C01B00" w:rsidP="00C41148">
            <w:pPr>
              <w:rPr>
                <w:sz w:val="28"/>
              </w:rPr>
            </w:pPr>
            <w:proofErr w:type="spellStart"/>
            <w:r>
              <w:rPr>
                <w:sz w:val="28"/>
              </w:rPr>
              <w:t>Н.В.Кравченко</w:t>
            </w:r>
            <w:proofErr w:type="spellEnd"/>
          </w:p>
        </w:tc>
      </w:tr>
    </w:tbl>
    <w:p w:rsidR="00C47B1F" w:rsidRDefault="00C47B1F">
      <w:pPr>
        <w:jc w:val="center"/>
        <w:rPr>
          <w:b/>
          <w:sz w:val="28"/>
        </w:rPr>
      </w:pPr>
    </w:p>
    <w:p w:rsidR="00C47B1F" w:rsidRDefault="00C47B1F" w:rsidP="003B4572">
      <w:pPr>
        <w:spacing w:line="276" w:lineRule="auto"/>
        <w:jc w:val="center"/>
        <w:rPr>
          <w:b/>
          <w:sz w:val="28"/>
        </w:rPr>
      </w:pPr>
    </w:p>
    <w:p w:rsidR="00C47B1F" w:rsidRDefault="00D55BF1" w:rsidP="00844D55">
      <w:pPr>
        <w:jc w:val="center"/>
        <w:rPr>
          <w:sz w:val="28"/>
        </w:rPr>
      </w:pPr>
      <w:r>
        <w:rPr>
          <w:b/>
          <w:sz w:val="28"/>
        </w:rPr>
        <w:t>Заключение на проект изменений в муниципальную программу</w:t>
      </w:r>
    </w:p>
    <w:p w:rsidR="00C47B1F" w:rsidRDefault="00D55BF1" w:rsidP="00844D55">
      <w:pPr>
        <w:jc w:val="center"/>
        <w:rPr>
          <w:sz w:val="28"/>
        </w:rPr>
      </w:pPr>
      <w:r>
        <w:rPr>
          <w:b/>
          <w:sz w:val="28"/>
        </w:rPr>
        <w:t xml:space="preserve"> «Развитие жилищной сферы города Нефтеюганска»</w:t>
      </w:r>
    </w:p>
    <w:p w:rsidR="00C47B1F" w:rsidRDefault="00C47B1F" w:rsidP="00844D55">
      <w:pPr>
        <w:ind w:firstLine="709"/>
        <w:jc w:val="both"/>
        <w:rPr>
          <w:sz w:val="28"/>
        </w:rPr>
      </w:pPr>
    </w:p>
    <w:p w:rsidR="00C47B1F" w:rsidRDefault="00D55BF1" w:rsidP="00844D55">
      <w:pPr>
        <w:jc w:val="both"/>
        <w:rPr>
          <w:sz w:val="28"/>
        </w:rPr>
      </w:pPr>
      <w:r>
        <w:rPr>
          <w:sz w:val="28"/>
        </w:rPr>
        <w:tab/>
        <w:t>Счётная палата города Нефтеюганска на основании статьи 157 Бюджетного кодекса Российской Федерации, Положения о Счётной палате города Нефтеюганска, рассмотрев проект изменений в муниципальную программу «Развитие жилищной сферы города Нефтеюганска</w:t>
      </w:r>
      <w:r>
        <w:rPr>
          <w:b/>
          <w:sz w:val="28"/>
        </w:rPr>
        <w:t>»</w:t>
      </w:r>
      <w:r>
        <w:rPr>
          <w:sz w:val="28"/>
        </w:rPr>
        <w:t xml:space="preserve"> (далее по тексту – проект изменений), сообщает следующее:</w:t>
      </w:r>
    </w:p>
    <w:p w:rsidR="00C47B1F" w:rsidRDefault="00D55BF1" w:rsidP="00844D55">
      <w:pPr>
        <w:ind w:firstLine="709"/>
        <w:jc w:val="both"/>
        <w:rPr>
          <w:sz w:val="28"/>
        </w:rPr>
      </w:pPr>
      <w:r>
        <w:rPr>
          <w:sz w:val="28"/>
        </w:rPr>
        <w:t>1. При проведении экспертно-аналитического мероприятия учитывалось наличие экспертизы проекта изменений:</w:t>
      </w:r>
    </w:p>
    <w:p w:rsidR="00C47B1F" w:rsidRDefault="00D55BF1" w:rsidP="00844D55">
      <w:pPr>
        <w:ind w:firstLine="709"/>
        <w:jc w:val="both"/>
        <w:rPr>
          <w:sz w:val="28"/>
        </w:rPr>
      </w:pPr>
      <w:r>
        <w:rPr>
          <w:sz w:val="28"/>
        </w:rPr>
        <w:t>1.1.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w:t>
      </w:r>
      <w:r w:rsidR="001662BE">
        <w:rPr>
          <w:sz w:val="28"/>
        </w:rPr>
        <w:t>.</w:t>
      </w:r>
    </w:p>
    <w:p w:rsidR="00C47B1F" w:rsidRDefault="00D55BF1" w:rsidP="00844D55">
      <w:pPr>
        <w:ind w:firstLine="709"/>
        <w:jc w:val="both"/>
        <w:rPr>
          <w:sz w:val="28"/>
        </w:rPr>
      </w:pPr>
      <w:r>
        <w:rPr>
          <w:sz w:val="28"/>
        </w:rPr>
        <w:t>1.2. Департамента экономического развития администрации города Нефтеюганска на предмет соответствия:</w:t>
      </w:r>
    </w:p>
    <w:p w:rsidR="00C47B1F" w:rsidRDefault="00D55BF1" w:rsidP="00844D55">
      <w:pPr>
        <w:ind w:firstLine="709"/>
        <w:jc w:val="both"/>
        <w:rPr>
          <w:sz w:val="28"/>
        </w:rPr>
      </w:pPr>
      <w:r>
        <w:rPr>
          <w:sz w:val="28"/>
        </w:rPr>
        <w:t xml:space="preserve">- </w:t>
      </w:r>
      <w:r w:rsidR="00FE7A74">
        <w:rPr>
          <w:sz w:val="28"/>
        </w:rPr>
        <w:t xml:space="preserve">проекта изменений </w:t>
      </w:r>
      <w:r>
        <w:rPr>
          <w:sz w:val="28"/>
        </w:rPr>
        <w:t xml:space="preserve">муниципальной программы Порядку принятия решения о разработке муниципальных программ города Нефтеюганска, их формирования, утверждения и реализации, утверждённому постановлением администрации города Нефтеюганска от </w:t>
      </w:r>
      <w:r w:rsidR="00C41148">
        <w:rPr>
          <w:sz w:val="28"/>
        </w:rPr>
        <w:t>1</w:t>
      </w:r>
      <w:r>
        <w:rPr>
          <w:sz w:val="28"/>
        </w:rPr>
        <w:t>8.0</w:t>
      </w:r>
      <w:r w:rsidR="00C41148">
        <w:rPr>
          <w:sz w:val="28"/>
        </w:rPr>
        <w:t>4</w:t>
      </w:r>
      <w:r>
        <w:rPr>
          <w:sz w:val="28"/>
        </w:rPr>
        <w:t>.201</w:t>
      </w:r>
      <w:r w:rsidR="00C41148">
        <w:rPr>
          <w:sz w:val="28"/>
        </w:rPr>
        <w:t>9</w:t>
      </w:r>
      <w:r>
        <w:rPr>
          <w:sz w:val="28"/>
        </w:rPr>
        <w:t xml:space="preserve"> № </w:t>
      </w:r>
      <w:r w:rsidR="00C41148">
        <w:rPr>
          <w:sz w:val="28"/>
        </w:rPr>
        <w:t>77</w:t>
      </w:r>
      <w:r>
        <w:rPr>
          <w:sz w:val="28"/>
        </w:rPr>
        <w:t xml:space="preserve">-нп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(далее по тексту – Порядок от </w:t>
      </w:r>
      <w:r w:rsidR="00C41148">
        <w:rPr>
          <w:sz w:val="28"/>
        </w:rPr>
        <w:t>1</w:t>
      </w:r>
      <w:r>
        <w:rPr>
          <w:sz w:val="28"/>
        </w:rPr>
        <w:t>8.0</w:t>
      </w:r>
      <w:r w:rsidR="00C41148">
        <w:rPr>
          <w:sz w:val="28"/>
        </w:rPr>
        <w:t>4</w:t>
      </w:r>
      <w:r>
        <w:rPr>
          <w:sz w:val="28"/>
        </w:rPr>
        <w:t>.201</w:t>
      </w:r>
      <w:r w:rsidR="00C41148">
        <w:rPr>
          <w:sz w:val="28"/>
        </w:rPr>
        <w:t>9</w:t>
      </w:r>
      <w:r w:rsidR="00C01B00">
        <w:rPr>
          <w:sz w:val="28"/>
        </w:rPr>
        <w:t xml:space="preserve"> </w:t>
      </w:r>
      <w:r>
        <w:rPr>
          <w:sz w:val="28"/>
        </w:rPr>
        <w:t xml:space="preserve">№ </w:t>
      </w:r>
      <w:r w:rsidR="00C41148">
        <w:rPr>
          <w:sz w:val="28"/>
        </w:rPr>
        <w:t>77</w:t>
      </w:r>
      <w:r>
        <w:rPr>
          <w:sz w:val="28"/>
        </w:rPr>
        <w:t>-нп);</w:t>
      </w:r>
    </w:p>
    <w:p w:rsidR="00C47B1F" w:rsidRDefault="00D55BF1" w:rsidP="00844D55">
      <w:pPr>
        <w:ind w:firstLine="709"/>
        <w:jc w:val="both"/>
        <w:rPr>
          <w:sz w:val="28"/>
        </w:rPr>
      </w:pPr>
      <w:r>
        <w:rPr>
          <w:sz w:val="28"/>
        </w:rPr>
        <w:t>- программных мероприятий целям муниципальной программы;</w:t>
      </w:r>
    </w:p>
    <w:p w:rsidR="00C47B1F" w:rsidRDefault="00D55BF1" w:rsidP="00844D55">
      <w:pPr>
        <w:ind w:firstLine="709"/>
        <w:jc w:val="both"/>
        <w:rPr>
          <w:sz w:val="28"/>
        </w:rPr>
      </w:pPr>
      <w:r>
        <w:rPr>
          <w:sz w:val="28"/>
        </w:rPr>
        <w:t>- сроков её реализации задачам;</w:t>
      </w:r>
    </w:p>
    <w:p w:rsidR="00C47B1F" w:rsidRDefault="00D55BF1" w:rsidP="00844D55">
      <w:pPr>
        <w:ind w:firstLine="709"/>
        <w:jc w:val="both"/>
        <w:rPr>
          <w:sz w:val="28"/>
        </w:rPr>
      </w:pPr>
      <w:r>
        <w:rPr>
          <w:sz w:val="28"/>
        </w:rPr>
        <w:lastRenderedPageBreak/>
        <w:t>- целевых показателей, характеризующих результаты реализации муниципальной программы, показателям экономической, бюджетной и социальной эффективности;</w:t>
      </w:r>
    </w:p>
    <w:p w:rsidR="00C47B1F" w:rsidRDefault="00D55BF1" w:rsidP="00844D55">
      <w:pPr>
        <w:ind w:firstLine="709"/>
        <w:jc w:val="both"/>
        <w:rPr>
          <w:sz w:val="28"/>
        </w:rPr>
      </w:pPr>
      <w:r>
        <w:rPr>
          <w:sz w:val="28"/>
        </w:rPr>
        <w:t>- требованиям, установленным нормативными правовыми актами в сфере управления проектной деятельностью.</w:t>
      </w:r>
    </w:p>
    <w:p w:rsidR="00A25B98" w:rsidRDefault="00D55BF1" w:rsidP="00EC47D1">
      <w:pPr>
        <w:numPr>
          <w:ilvl w:val="0"/>
          <w:numId w:val="1"/>
        </w:numPr>
        <w:tabs>
          <w:tab w:val="left" w:pos="0"/>
        </w:tabs>
        <w:ind w:firstLine="709"/>
        <w:jc w:val="both"/>
        <w:rPr>
          <w:sz w:val="28"/>
        </w:rPr>
      </w:pPr>
      <w:r>
        <w:rPr>
          <w:sz w:val="28"/>
        </w:rPr>
        <w:t xml:space="preserve">Предоставленный проект изменений </w:t>
      </w:r>
      <w:r w:rsidR="007A771C">
        <w:rPr>
          <w:sz w:val="28"/>
        </w:rPr>
        <w:t xml:space="preserve">не </w:t>
      </w:r>
      <w:r>
        <w:rPr>
          <w:sz w:val="28"/>
        </w:rPr>
        <w:t xml:space="preserve">соответствует </w:t>
      </w:r>
      <w:r w:rsidR="00C41148">
        <w:rPr>
          <w:sz w:val="28"/>
        </w:rPr>
        <w:t>Порядку</w:t>
      </w:r>
      <w:r>
        <w:rPr>
          <w:sz w:val="28"/>
        </w:rPr>
        <w:t xml:space="preserve"> от </w:t>
      </w:r>
      <w:r w:rsidR="00C41148">
        <w:rPr>
          <w:sz w:val="28"/>
        </w:rPr>
        <w:t>1</w:t>
      </w:r>
      <w:r>
        <w:rPr>
          <w:sz w:val="28"/>
        </w:rPr>
        <w:t>8.</w:t>
      </w:r>
      <w:r w:rsidRPr="0023728F">
        <w:rPr>
          <w:sz w:val="28"/>
        </w:rPr>
        <w:t>0</w:t>
      </w:r>
      <w:r w:rsidR="00C41148" w:rsidRPr="0023728F">
        <w:rPr>
          <w:sz w:val="28"/>
        </w:rPr>
        <w:t>4</w:t>
      </w:r>
      <w:r w:rsidRPr="0023728F">
        <w:rPr>
          <w:sz w:val="28"/>
        </w:rPr>
        <w:t>.201</w:t>
      </w:r>
      <w:r w:rsidR="00C41148" w:rsidRPr="0023728F">
        <w:rPr>
          <w:sz w:val="28"/>
        </w:rPr>
        <w:t>9</w:t>
      </w:r>
      <w:r w:rsidRPr="0023728F">
        <w:rPr>
          <w:sz w:val="28"/>
        </w:rPr>
        <w:t xml:space="preserve"> № </w:t>
      </w:r>
      <w:r w:rsidR="00C41148" w:rsidRPr="0023728F">
        <w:rPr>
          <w:sz w:val="28"/>
        </w:rPr>
        <w:t>77</w:t>
      </w:r>
      <w:r w:rsidRPr="0023728F">
        <w:rPr>
          <w:sz w:val="28"/>
        </w:rPr>
        <w:t>-нп</w:t>
      </w:r>
      <w:r w:rsidR="007A771C">
        <w:rPr>
          <w:sz w:val="28"/>
        </w:rPr>
        <w:t>, а именно не внесены соответствующие изменения в таблицу</w:t>
      </w:r>
      <w:r w:rsidR="00462405">
        <w:rPr>
          <w:sz w:val="28"/>
        </w:rPr>
        <w:t xml:space="preserve"> 4 «Характеристика основных мероприятий муниципальной программы, их связь с целевыми показателями».</w:t>
      </w:r>
      <w:r w:rsidR="00EC47D1">
        <w:rPr>
          <w:sz w:val="28"/>
        </w:rPr>
        <w:t xml:space="preserve"> </w:t>
      </w:r>
      <w:r w:rsidR="00EC47D1" w:rsidRPr="00EC47D1">
        <w:rPr>
          <w:sz w:val="28"/>
        </w:rPr>
        <w:t>Рекомендуем внести соответствующие изменения.</w:t>
      </w:r>
    </w:p>
    <w:p w:rsidR="00462405" w:rsidRPr="00A25B98" w:rsidRDefault="00462405" w:rsidP="00EC47D1">
      <w:pPr>
        <w:tabs>
          <w:tab w:val="left" w:pos="0"/>
        </w:tabs>
        <w:ind w:firstLine="567"/>
        <w:jc w:val="both"/>
        <w:rPr>
          <w:sz w:val="28"/>
        </w:rPr>
      </w:pPr>
      <w:r>
        <w:rPr>
          <w:sz w:val="28"/>
        </w:rPr>
        <w:t xml:space="preserve">Кроме того, </w:t>
      </w:r>
      <w:r w:rsidR="00EC47D1">
        <w:rPr>
          <w:sz w:val="28"/>
        </w:rPr>
        <w:t xml:space="preserve">пунктом 1.2. </w:t>
      </w:r>
      <w:r w:rsidR="00F03E7E">
        <w:rPr>
          <w:sz w:val="28"/>
        </w:rPr>
        <w:t>п</w:t>
      </w:r>
      <w:r w:rsidR="00EC47D1">
        <w:rPr>
          <w:sz w:val="28"/>
        </w:rPr>
        <w:t>роекта постановления администрации города Нефтеюганска «О внесении изменений в постановление администрации города Нефтеюганска от 15.11.2018 № 602-п «Об утверждении муниципальной программы города Нефтеюганска «Развитие жилищной сферы города Нефтеюганска»</w:t>
      </w:r>
      <w:r w:rsidR="00EC47D1" w:rsidRPr="00EC47D1">
        <w:t xml:space="preserve"> </w:t>
      </w:r>
      <w:r w:rsidR="00EC47D1">
        <w:rPr>
          <w:sz w:val="28"/>
        </w:rPr>
        <w:t>планируется в</w:t>
      </w:r>
      <w:r w:rsidR="00EC47D1" w:rsidRPr="00EC47D1">
        <w:rPr>
          <w:sz w:val="28"/>
        </w:rPr>
        <w:t>несены изменения в подпрограмму «Стимулирование развития жилищного строительства» дополнив ее новым мероприятием «Предоставление субсидии застройщикам (инвесторам) на возмещение части затрат, понесенных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w:t>
      </w:r>
      <w:r w:rsidR="00EC47D1">
        <w:rPr>
          <w:sz w:val="28"/>
        </w:rPr>
        <w:t>, при этом не указанные отдельные части муниципальной программы в которые вносятся изменения, например: раздел 2 «Механизм реализации муниципальной программы» и другие.</w:t>
      </w:r>
      <w:r w:rsidR="00F03E7E" w:rsidRPr="00F03E7E">
        <w:t xml:space="preserve"> </w:t>
      </w:r>
      <w:r w:rsidR="00F03E7E" w:rsidRPr="00F03E7E">
        <w:rPr>
          <w:sz w:val="28"/>
        </w:rPr>
        <w:t xml:space="preserve">В целях </w:t>
      </w:r>
      <w:r w:rsidR="00140BE1">
        <w:rPr>
          <w:sz w:val="28"/>
        </w:rPr>
        <w:t xml:space="preserve">полного </w:t>
      </w:r>
      <w:r w:rsidR="00140BE1" w:rsidRPr="00140BE1">
        <w:rPr>
          <w:sz w:val="28"/>
        </w:rPr>
        <w:t>структур</w:t>
      </w:r>
      <w:r w:rsidR="00140BE1">
        <w:rPr>
          <w:sz w:val="28"/>
        </w:rPr>
        <w:t>ирования</w:t>
      </w:r>
      <w:r w:rsidR="00140BE1" w:rsidRPr="00140BE1">
        <w:rPr>
          <w:sz w:val="28"/>
        </w:rPr>
        <w:t xml:space="preserve"> муниципальной программы</w:t>
      </w:r>
      <w:r w:rsidR="00F03E7E" w:rsidRPr="00140BE1">
        <w:rPr>
          <w:sz w:val="28"/>
        </w:rPr>
        <w:t>,</w:t>
      </w:r>
      <w:r w:rsidR="00F03E7E" w:rsidRPr="00F03E7E">
        <w:rPr>
          <w:sz w:val="28"/>
        </w:rPr>
        <w:t xml:space="preserve"> рекомендуем пересмотреть положения </w:t>
      </w:r>
      <w:r w:rsidR="00F03E7E">
        <w:rPr>
          <w:sz w:val="28"/>
        </w:rPr>
        <w:t>указанного пункта</w:t>
      </w:r>
      <w:r w:rsidR="00F03E7E" w:rsidRPr="00F03E7E">
        <w:rPr>
          <w:sz w:val="28"/>
        </w:rPr>
        <w:t xml:space="preserve"> и внести соответствующие изменения.</w:t>
      </w:r>
    </w:p>
    <w:p w:rsidR="00865F46" w:rsidRPr="00865F46" w:rsidRDefault="00844D55" w:rsidP="00C52156">
      <w:pPr>
        <w:pStyle w:val="aa"/>
        <w:numPr>
          <w:ilvl w:val="0"/>
          <w:numId w:val="1"/>
        </w:numPr>
        <w:ind w:left="0" w:firstLine="709"/>
        <w:jc w:val="both"/>
        <w:rPr>
          <w:rFonts w:eastAsia="Times New Roman" w:cs="Times New Roman"/>
          <w:color w:val="auto"/>
          <w:sz w:val="28"/>
          <w:szCs w:val="28"/>
        </w:rPr>
      </w:pPr>
      <w:r w:rsidRPr="00844D55">
        <w:rPr>
          <w:sz w:val="28"/>
        </w:rPr>
        <w:t>Проектом изменений планируется</w:t>
      </w:r>
      <w:r w:rsidR="00865F46">
        <w:rPr>
          <w:sz w:val="28"/>
        </w:rPr>
        <w:t>:</w:t>
      </w:r>
      <w:r w:rsidRPr="00844D55">
        <w:rPr>
          <w:sz w:val="28"/>
        </w:rPr>
        <w:t xml:space="preserve"> </w:t>
      </w:r>
    </w:p>
    <w:p w:rsidR="0049528D" w:rsidRDefault="0049528D" w:rsidP="0038276C">
      <w:pPr>
        <w:pStyle w:val="aa"/>
        <w:numPr>
          <w:ilvl w:val="1"/>
          <w:numId w:val="1"/>
        </w:numPr>
        <w:ind w:left="0" w:firstLine="709"/>
        <w:jc w:val="both"/>
        <w:rPr>
          <w:sz w:val="28"/>
        </w:rPr>
      </w:pPr>
      <w:r>
        <w:rPr>
          <w:sz w:val="28"/>
        </w:rPr>
        <w:t>Внести изменения в ц</w:t>
      </w:r>
      <w:r w:rsidR="00865F46" w:rsidRPr="00865F46">
        <w:rPr>
          <w:sz w:val="28"/>
        </w:rPr>
        <w:t>елев</w:t>
      </w:r>
      <w:r>
        <w:rPr>
          <w:sz w:val="28"/>
        </w:rPr>
        <w:t>ые</w:t>
      </w:r>
      <w:r w:rsidR="00865F46" w:rsidRPr="00865F46">
        <w:rPr>
          <w:sz w:val="28"/>
        </w:rPr>
        <w:t xml:space="preserve"> показател</w:t>
      </w:r>
      <w:r>
        <w:rPr>
          <w:sz w:val="28"/>
        </w:rPr>
        <w:t>и:</w:t>
      </w:r>
    </w:p>
    <w:p w:rsidR="0038276C" w:rsidRPr="0038276C" w:rsidRDefault="0038276C" w:rsidP="0038276C">
      <w:pPr>
        <w:pStyle w:val="aa"/>
        <w:ind w:left="0" w:firstLine="708"/>
        <w:jc w:val="both"/>
        <w:rPr>
          <w:sz w:val="28"/>
        </w:rPr>
      </w:pPr>
      <w:r>
        <w:rPr>
          <w:sz w:val="28"/>
        </w:rPr>
        <w:t>3.1.1.</w:t>
      </w:r>
      <w:r w:rsidRPr="0038276C">
        <w:rPr>
          <w:sz w:val="28"/>
        </w:rPr>
        <w:t xml:space="preserve"> </w:t>
      </w:r>
      <w:r>
        <w:rPr>
          <w:sz w:val="28"/>
        </w:rPr>
        <w:t>Д</w:t>
      </w:r>
      <w:r w:rsidRPr="0038276C">
        <w:rPr>
          <w:sz w:val="28"/>
        </w:rPr>
        <w:t xml:space="preserve">ополнить </w:t>
      </w:r>
      <w:r>
        <w:rPr>
          <w:sz w:val="28"/>
        </w:rPr>
        <w:t xml:space="preserve">новыми </w:t>
      </w:r>
      <w:r w:rsidRPr="0038276C">
        <w:rPr>
          <w:sz w:val="28"/>
        </w:rPr>
        <w:t xml:space="preserve">целевыми показателями </w:t>
      </w:r>
      <w:r>
        <w:rPr>
          <w:sz w:val="28"/>
        </w:rPr>
        <w:t>на основании распоряжения</w:t>
      </w:r>
      <w:r w:rsidRPr="0038276C">
        <w:rPr>
          <w:sz w:val="28"/>
        </w:rPr>
        <w:t xml:space="preserve"> администрации гор</w:t>
      </w:r>
      <w:r>
        <w:rPr>
          <w:sz w:val="28"/>
        </w:rPr>
        <w:t xml:space="preserve">ода Нефтеюганска от 03.12.2019 </w:t>
      </w:r>
      <w:r w:rsidRPr="0038276C">
        <w:rPr>
          <w:sz w:val="28"/>
        </w:rPr>
        <w:t>№</w:t>
      </w:r>
      <w:r>
        <w:rPr>
          <w:sz w:val="28"/>
        </w:rPr>
        <w:t xml:space="preserve"> </w:t>
      </w:r>
      <w:r w:rsidRPr="0038276C">
        <w:rPr>
          <w:sz w:val="28"/>
        </w:rPr>
        <w:t>340-р «Об утверждении перечня ответственных лиц за достижение значений (уровней) показателей оценки эффективности деятельности органов местного самоуправления городского ок</w:t>
      </w:r>
      <w:r>
        <w:rPr>
          <w:sz w:val="28"/>
        </w:rPr>
        <w:t>руга Нефтеюганска» со следующими значениями на момент окончания муниципальной программы:</w:t>
      </w:r>
    </w:p>
    <w:p w:rsidR="0038276C" w:rsidRPr="0038276C" w:rsidRDefault="0038276C" w:rsidP="0038276C">
      <w:pPr>
        <w:pStyle w:val="aa"/>
        <w:ind w:left="0" w:firstLine="567"/>
        <w:jc w:val="both"/>
        <w:rPr>
          <w:sz w:val="28"/>
        </w:rPr>
      </w:pPr>
      <w:r w:rsidRPr="0038276C">
        <w:rPr>
          <w:sz w:val="28"/>
        </w:rPr>
        <w:t xml:space="preserve">- </w:t>
      </w:r>
      <w:r>
        <w:rPr>
          <w:sz w:val="28"/>
        </w:rPr>
        <w:t>«</w:t>
      </w:r>
      <w:r w:rsidRPr="0038276C">
        <w:rPr>
          <w:sz w:val="28"/>
        </w:rPr>
        <w:t>Общая площадь жилых помещений, приходящаяся в среднем на одного жителя, в том числе введенная в действие за один год</w:t>
      </w:r>
      <w:r>
        <w:rPr>
          <w:sz w:val="28"/>
        </w:rPr>
        <w:t xml:space="preserve">» </w:t>
      </w:r>
      <w:r w:rsidR="00187F16">
        <w:rPr>
          <w:sz w:val="28"/>
        </w:rPr>
        <w:t>- 16,5</w:t>
      </w:r>
      <w:r w:rsidRPr="0038276C">
        <w:rPr>
          <w:sz w:val="28"/>
        </w:rPr>
        <w:t>;</w:t>
      </w:r>
    </w:p>
    <w:p w:rsidR="0038276C" w:rsidRPr="0038276C" w:rsidRDefault="0038276C" w:rsidP="007A771C">
      <w:pPr>
        <w:pStyle w:val="aa"/>
        <w:ind w:left="0" w:firstLine="567"/>
        <w:jc w:val="both"/>
        <w:rPr>
          <w:sz w:val="28"/>
        </w:rPr>
      </w:pPr>
      <w:r w:rsidRPr="0038276C">
        <w:rPr>
          <w:sz w:val="28"/>
        </w:rPr>
        <w:t xml:space="preserve">- </w:t>
      </w:r>
      <w:r w:rsidR="00187F16">
        <w:rPr>
          <w:sz w:val="28"/>
        </w:rPr>
        <w:t>«</w:t>
      </w:r>
      <w:r w:rsidRPr="0038276C">
        <w:rPr>
          <w:sz w:val="28"/>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объектов жилищного строительства – в течение 3 лет (кв. метров)</w:t>
      </w:r>
      <w:r w:rsidR="00187F16">
        <w:rPr>
          <w:sz w:val="28"/>
        </w:rPr>
        <w:t>» - 3 200</w:t>
      </w:r>
      <w:r w:rsidRPr="0038276C">
        <w:rPr>
          <w:sz w:val="28"/>
        </w:rPr>
        <w:t>;</w:t>
      </w:r>
    </w:p>
    <w:p w:rsidR="0038276C" w:rsidRPr="0038276C" w:rsidRDefault="0038276C" w:rsidP="007A771C">
      <w:pPr>
        <w:pStyle w:val="aa"/>
        <w:ind w:left="0" w:firstLine="567"/>
        <w:jc w:val="both"/>
        <w:rPr>
          <w:sz w:val="28"/>
        </w:rPr>
      </w:pPr>
      <w:r w:rsidRPr="0038276C">
        <w:rPr>
          <w:sz w:val="28"/>
        </w:rPr>
        <w:t>-</w:t>
      </w:r>
      <w:r w:rsidR="00187F16">
        <w:rPr>
          <w:sz w:val="28"/>
        </w:rPr>
        <w:t xml:space="preserve"> «</w:t>
      </w:r>
      <w:r w:rsidRPr="0038276C">
        <w:rPr>
          <w:sz w:val="28"/>
        </w:rPr>
        <w:t xml:space="preserve">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w:t>
      </w:r>
      <w:r w:rsidRPr="0038276C">
        <w:rPr>
          <w:sz w:val="28"/>
        </w:rPr>
        <w:lastRenderedPageBreak/>
        <w:t>не было получено разрешение на ввод в эксплуатацию иных объектов капитального строительства – в течение 5 лет (кв. метров)</w:t>
      </w:r>
      <w:r w:rsidR="00187F16">
        <w:rPr>
          <w:sz w:val="28"/>
        </w:rPr>
        <w:t>» - 1 600</w:t>
      </w:r>
      <w:r w:rsidRPr="0038276C">
        <w:rPr>
          <w:sz w:val="28"/>
        </w:rPr>
        <w:t>;</w:t>
      </w:r>
    </w:p>
    <w:p w:rsidR="0038276C" w:rsidRPr="0038276C" w:rsidRDefault="0038276C" w:rsidP="007A771C">
      <w:pPr>
        <w:pStyle w:val="aa"/>
        <w:ind w:left="0" w:firstLine="567"/>
        <w:jc w:val="both"/>
        <w:rPr>
          <w:sz w:val="28"/>
        </w:rPr>
      </w:pPr>
      <w:r w:rsidRPr="0038276C">
        <w:rPr>
          <w:sz w:val="28"/>
        </w:rPr>
        <w:t xml:space="preserve">- </w:t>
      </w:r>
      <w:r w:rsidR="00187F16">
        <w:rPr>
          <w:sz w:val="28"/>
        </w:rPr>
        <w:t>«</w:t>
      </w:r>
      <w:r w:rsidRPr="0038276C">
        <w:rPr>
          <w:sz w:val="28"/>
        </w:rPr>
        <w:t>Удовлетворенность населения деятельностью органов местного самоуправления (процентов от числа опрошенных) (по сферам деятельности)</w:t>
      </w:r>
      <w:r w:rsidR="00187F16">
        <w:rPr>
          <w:sz w:val="28"/>
        </w:rPr>
        <w:t>» - 86</w:t>
      </w:r>
      <w:r w:rsidRPr="0038276C">
        <w:rPr>
          <w:sz w:val="28"/>
        </w:rPr>
        <w:t>;</w:t>
      </w:r>
    </w:p>
    <w:p w:rsidR="00187F16" w:rsidRDefault="0038276C" w:rsidP="007A771C">
      <w:pPr>
        <w:pStyle w:val="aa"/>
        <w:ind w:left="0" w:firstLine="567"/>
        <w:jc w:val="both"/>
        <w:rPr>
          <w:sz w:val="28"/>
        </w:rPr>
      </w:pPr>
      <w:r w:rsidRPr="0038276C">
        <w:rPr>
          <w:sz w:val="28"/>
        </w:rPr>
        <w:t>-</w:t>
      </w:r>
      <w:r w:rsidR="00187F16">
        <w:rPr>
          <w:sz w:val="28"/>
        </w:rPr>
        <w:t xml:space="preserve"> «</w:t>
      </w:r>
      <w:r w:rsidRPr="0038276C">
        <w:rPr>
          <w:sz w:val="28"/>
        </w:rPr>
        <w:t>Площадь земельных участков, предоставленных для строительства, в расчете на 10 тыс. человек населения –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r w:rsidR="00187F16">
        <w:rPr>
          <w:sz w:val="28"/>
        </w:rPr>
        <w:t>» - 9,6;</w:t>
      </w:r>
    </w:p>
    <w:p w:rsidR="0038276C" w:rsidRDefault="007A771C" w:rsidP="007A771C">
      <w:pPr>
        <w:pStyle w:val="aa"/>
        <w:ind w:left="0" w:firstLine="567"/>
        <w:jc w:val="both"/>
        <w:rPr>
          <w:bCs/>
          <w:sz w:val="28"/>
          <w:szCs w:val="28"/>
        </w:rPr>
      </w:pPr>
      <w:r>
        <w:rPr>
          <w:sz w:val="28"/>
        </w:rPr>
        <w:t>3.1.2</w:t>
      </w:r>
      <w:r w:rsidR="0038276C" w:rsidRPr="0038276C">
        <w:rPr>
          <w:sz w:val="28"/>
        </w:rPr>
        <w:t>.</w:t>
      </w:r>
      <w:r>
        <w:rPr>
          <w:sz w:val="28"/>
        </w:rPr>
        <w:t xml:space="preserve"> Введение нового целевого показателя </w:t>
      </w:r>
      <w:r w:rsidR="00E6001D" w:rsidRPr="00E6001D">
        <w:rPr>
          <w:sz w:val="28"/>
        </w:rPr>
        <w:t xml:space="preserve">«Количество застройщиков» </w:t>
      </w:r>
      <w:r w:rsidR="00E6001D">
        <w:rPr>
          <w:sz w:val="28"/>
        </w:rPr>
        <w:t>с</w:t>
      </w:r>
      <w:r w:rsidR="00E6001D" w:rsidRPr="00E6001D">
        <w:rPr>
          <w:sz w:val="28"/>
        </w:rPr>
        <w:t xml:space="preserve"> целевым показателем - 1шт.</w:t>
      </w:r>
      <w:r w:rsidR="00E6001D">
        <w:rPr>
          <w:sz w:val="28"/>
        </w:rPr>
        <w:t xml:space="preserve"> в связи с вводом нового </w:t>
      </w:r>
      <w:r w:rsidR="00E6001D">
        <w:rPr>
          <w:bCs/>
          <w:sz w:val="28"/>
          <w:szCs w:val="28"/>
        </w:rPr>
        <w:t>мероприятия</w:t>
      </w:r>
      <w:r w:rsidRPr="00604D96">
        <w:rPr>
          <w:bCs/>
          <w:sz w:val="28"/>
          <w:szCs w:val="28"/>
        </w:rPr>
        <w:t xml:space="preserve"> «Предоставление субсидии застройщикам (инвесторам) на возмещение части затрат, понесенных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w:t>
      </w:r>
      <w:r w:rsidR="00E6001D">
        <w:rPr>
          <w:bCs/>
          <w:sz w:val="28"/>
          <w:szCs w:val="28"/>
        </w:rPr>
        <w:t>.</w:t>
      </w:r>
    </w:p>
    <w:p w:rsidR="00E6001D" w:rsidRDefault="00E6001D" w:rsidP="007A771C">
      <w:pPr>
        <w:pStyle w:val="aa"/>
        <w:ind w:left="0" w:firstLine="567"/>
        <w:jc w:val="both"/>
        <w:rPr>
          <w:bCs/>
          <w:sz w:val="28"/>
          <w:szCs w:val="28"/>
        </w:rPr>
      </w:pPr>
      <w:r>
        <w:rPr>
          <w:bCs/>
          <w:sz w:val="28"/>
          <w:szCs w:val="28"/>
        </w:rPr>
        <w:t>3.1.3. Изменены действующие целевые показатели</w:t>
      </w:r>
      <w:r w:rsidR="008E5066">
        <w:rPr>
          <w:bCs/>
          <w:sz w:val="28"/>
          <w:szCs w:val="28"/>
        </w:rPr>
        <w:t xml:space="preserve"> (обращение соисполнителя муниципальной программы </w:t>
      </w:r>
      <w:r w:rsidR="001B1328">
        <w:rPr>
          <w:bCs/>
          <w:sz w:val="28"/>
          <w:szCs w:val="28"/>
        </w:rPr>
        <w:t xml:space="preserve">- </w:t>
      </w:r>
      <w:r w:rsidR="008E5066">
        <w:rPr>
          <w:bCs/>
          <w:sz w:val="28"/>
          <w:szCs w:val="28"/>
        </w:rPr>
        <w:t>департамента муниципального имущества администрации города Нефтеюганска)</w:t>
      </w:r>
      <w:r>
        <w:rPr>
          <w:bCs/>
          <w:sz w:val="28"/>
          <w:szCs w:val="28"/>
        </w:rPr>
        <w:t>:</w:t>
      </w:r>
    </w:p>
    <w:p w:rsidR="00E6001D" w:rsidRDefault="00E6001D" w:rsidP="007A771C">
      <w:pPr>
        <w:pStyle w:val="aa"/>
        <w:ind w:left="0" w:firstLine="567"/>
        <w:jc w:val="both"/>
        <w:rPr>
          <w:bCs/>
          <w:sz w:val="28"/>
          <w:szCs w:val="28"/>
        </w:rPr>
      </w:pPr>
      <w:r>
        <w:rPr>
          <w:bCs/>
          <w:sz w:val="28"/>
          <w:szCs w:val="28"/>
        </w:rPr>
        <w:t>- «Приобретение жилья в целях реализации полномочий в области жилищных отношений (квартир)», уменьшение на 7 шт.;</w:t>
      </w:r>
    </w:p>
    <w:p w:rsidR="00E6001D" w:rsidRDefault="00E6001D" w:rsidP="007A771C">
      <w:pPr>
        <w:pStyle w:val="aa"/>
        <w:ind w:left="0" w:firstLine="567"/>
        <w:jc w:val="both"/>
        <w:rPr>
          <w:sz w:val="28"/>
        </w:rPr>
      </w:pPr>
      <w:r>
        <w:rPr>
          <w:bCs/>
          <w:sz w:val="28"/>
          <w:szCs w:val="28"/>
        </w:rPr>
        <w:t>- «</w:t>
      </w:r>
      <w:r w:rsidR="00D67231">
        <w:rPr>
          <w:bCs/>
          <w:sz w:val="28"/>
          <w:szCs w:val="28"/>
        </w:rPr>
        <w:t xml:space="preserve">Количество изъятых жилых/нежилых помещений и долей земельных участков, на которых они расположены для муниципальных нужд, помещений», уменьшение на 5 единиц.  </w:t>
      </w:r>
    </w:p>
    <w:p w:rsidR="006A7FAD" w:rsidRDefault="00865F46" w:rsidP="00865F46">
      <w:pPr>
        <w:pStyle w:val="aa"/>
        <w:ind w:left="0" w:firstLine="709"/>
        <w:jc w:val="both"/>
        <w:rPr>
          <w:rFonts w:eastAsia="Times New Roman" w:cs="Times New Roman"/>
          <w:color w:val="auto"/>
          <w:sz w:val="28"/>
          <w:szCs w:val="28"/>
        </w:rPr>
      </w:pPr>
      <w:r>
        <w:rPr>
          <w:rFonts w:eastAsia="Times New Roman" w:cs="Times New Roman"/>
          <w:color w:val="auto"/>
          <w:sz w:val="28"/>
          <w:szCs w:val="28"/>
        </w:rPr>
        <w:t xml:space="preserve">3.2. </w:t>
      </w:r>
      <w:r w:rsidR="006A7FAD">
        <w:rPr>
          <w:rFonts w:eastAsia="Times New Roman" w:cs="Times New Roman"/>
          <w:color w:val="auto"/>
          <w:sz w:val="28"/>
          <w:szCs w:val="28"/>
        </w:rPr>
        <w:t>Увеличить общий объем финансирования муниципальной программы на 114 633,832 тыс. рублей, в том числе:</w:t>
      </w:r>
    </w:p>
    <w:p w:rsidR="00C52156" w:rsidRPr="00865F46" w:rsidRDefault="006A7FAD" w:rsidP="00865F46">
      <w:pPr>
        <w:pStyle w:val="aa"/>
        <w:ind w:left="0" w:firstLine="709"/>
        <w:jc w:val="both"/>
        <w:rPr>
          <w:rFonts w:eastAsia="Times New Roman" w:cs="Times New Roman"/>
          <w:color w:val="auto"/>
          <w:sz w:val="28"/>
          <w:szCs w:val="28"/>
        </w:rPr>
      </w:pPr>
      <w:r>
        <w:rPr>
          <w:sz w:val="28"/>
        </w:rPr>
        <w:t xml:space="preserve">3.2.1. </w:t>
      </w:r>
      <w:r w:rsidR="00865F46" w:rsidRPr="00865F46">
        <w:rPr>
          <w:sz w:val="28"/>
        </w:rPr>
        <w:t>П</w:t>
      </w:r>
      <w:r w:rsidR="00844D55" w:rsidRPr="00865F46">
        <w:rPr>
          <w:sz w:val="28"/>
        </w:rPr>
        <w:t xml:space="preserve">о основному мероприятию </w:t>
      </w:r>
      <w:r w:rsidR="00844D55" w:rsidRPr="00865F46">
        <w:rPr>
          <w:rFonts w:eastAsia="Times New Roman" w:cs="Times New Roman"/>
          <w:sz w:val="28"/>
          <w:szCs w:val="28"/>
        </w:rPr>
        <w:t>«</w:t>
      </w:r>
      <w:r w:rsidRPr="006A7FAD">
        <w:rPr>
          <w:sz w:val="28"/>
          <w:szCs w:val="28"/>
        </w:rPr>
        <w:t xml:space="preserve">Проектирование и строительство инженерных сетей для увеличения объемов жилищного строительства, в </w:t>
      </w:r>
      <w:proofErr w:type="spellStart"/>
      <w:r w:rsidRPr="006A7FAD">
        <w:rPr>
          <w:sz w:val="28"/>
          <w:szCs w:val="28"/>
        </w:rPr>
        <w:t>т.ч</w:t>
      </w:r>
      <w:proofErr w:type="spellEnd"/>
      <w:r w:rsidRPr="006A7FAD">
        <w:rPr>
          <w:sz w:val="28"/>
          <w:szCs w:val="28"/>
        </w:rPr>
        <w:t>. на возмещение части затрат по строительству объектов инженерной инфраструктуры</w:t>
      </w:r>
      <w:r w:rsidR="00844D55" w:rsidRPr="00865F46">
        <w:rPr>
          <w:sz w:val="28"/>
          <w:szCs w:val="28"/>
        </w:rPr>
        <w:t xml:space="preserve">» </w:t>
      </w:r>
      <w:r w:rsidR="00844D55" w:rsidRPr="00865F46">
        <w:rPr>
          <w:rFonts w:eastAsia="Times New Roman" w:cs="Times New Roman"/>
          <w:sz w:val="28"/>
          <w:szCs w:val="28"/>
        </w:rPr>
        <w:t xml:space="preserve">подпрограммы «Стимулирование развития жилищного строительства» </w:t>
      </w:r>
      <w:r w:rsidR="00844D55" w:rsidRPr="00865F46">
        <w:rPr>
          <w:sz w:val="28"/>
          <w:szCs w:val="28"/>
        </w:rPr>
        <w:t xml:space="preserve">ответственному исполнителю </w:t>
      </w:r>
      <w:r w:rsidR="003C5792">
        <w:rPr>
          <w:sz w:val="28"/>
          <w:szCs w:val="28"/>
        </w:rPr>
        <w:t>- д</w:t>
      </w:r>
      <w:r w:rsidR="00844D55" w:rsidRPr="00865F46">
        <w:rPr>
          <w:sz w:val="28"/>
          <w:szCs w:val="28"/>
        </w:rPr>
        <w:t>епартаменту градостроительства и земельных отношений администрации города у</w:t>
      </w:r>
      <w:r>
        <w:rPr>
          <w:sz w:val="28"/>
          <w:szCs w:val="28"/>
        </w:rPr>
        <w:t>величить</w:t>
      </w:r>
      <w:r w:rsidR="00844D55" w:rsidRPr="00865F46">
        <w:rPr>
          <w:sz w:val="28"/>
          <w:szCs w:val="28"/>
        </w:rPr>
        <w:t xml:space="preserve"> финансовое обеспечение </w:t>
      </w:r>
      <w:r>
        <w:rPr>
          <w:sz w:val="28"/>
          <w:szCs w:val="28"/>
        </w:rPr>
        <w:t>мероприятия (2020 год)</w:t>
      </w:r>
      <w:r w:rsidR="00C52156" w:rsidRPr="00865F46">
        <w:rPr>
          <w:sz w:val="28"/>
          <w:szCs w:val="28"/>
        </w:rPr>
        <w:t xml:space="preserve"> в общем объёме на </w:t>
      </w:r>
      <w:r w:rsidR="00C90D8B">
        <w:rPr>
          <w:sz w:val="28"/>
          <w:szCs w:val="28"/>
        </w:rPr>
        <w:t>101 994,142</w:t>
      </w:r>
      <w:r w:rsidR="00C52156" w:rsidRPr="00865F46">
        <w:rPr>
          <w:sz w:val="28"/>
          <w:szCs w:val="28"/>
        </w:rPr>
        <w:t xml:space="preserve"> тыс. рублей, </w:t>
      </w:r>
      <w:r w:rsidR="009A2424">
        <w:rPr>
          <w:sz w:val="28"/>
          <w:szCs w:val="28"/>
        </w:rPr>
        <w:t>из них:</w:t>
      </w:r>
    </w:p>
    <w:p w:rsidR="0086259F" w:rsidRPr="009A2424" w:rsidRDefault="009A2424" w:rsidP="0086259F">
      <w:pPr>
        <w:tabs>
          <w:tab w:val="left" w:pos="0"/>
        </w:tabs>
        <w:jc w:val="both"/>
        <w:rPr>
          <w:sz w:val="28"/>
          <w:szCs w:val="28"/>
        </w:rPr>
      </w:pPr>
      <w:r>
        <w:rPr>
          <w:sz w:val="28"/>
          <w:szCs w:val="28"/>
        </w:rPr>
        <w:tab/>
        <w:t xml:space="preserve">- </w:t>
      </w:r>
      <w:r w:rsidRPr="009A2424">
        <w:rPr>
          <w:sz w:val="28"/>
          <w:szCs w:val="28"/>
        </w:rPr>
        <w:t xml:space="preserve">увеличение по средствам местного бюджета </w:t>
      </w:r>
      <w:r w:rsidR="0086259F">
        <w:rPr>
          <w:sz w:val="28"/>
          <w:szCs w:val="28"/>
        </w:rPr>
        <w:t>(</w:t>
      </w:r>
      <w:r w:rsidR="0086259F" w:rsidRPr="009A2424">
        <w:rPr>
          <w:sz w:val="28"/>
          <w:szCs w:val="28"/>
        </w:rPr>
        <w:t xml:space="preserve">выделены дополнительные средства </w:t>
      </w:r>
      <w:r w:rsidR="0086259F">
        <w:rPr>
          <w:sz w:val="28"/>
          <w:szCs w:val="28"/>
        </w:rPr>
        <w:t xml:space="preserve">ООО «РН-Юганскнефтегаз» </w:t>
      </w:r>
      <w:r w:rsidR="0086259F" w:rsidRPr="009A2424">
        <w:rPr>
          <w:sz w:val="28"/>
          <w:szCs w:val="28"/>
        </w:rPr>
        <w:t xml:space="preserve">на строительство объекта «Инженерное обеспечение 17 микрорайона </w:t>
      </w:r>
      <w:proofErr w:type="spellStart"/>
      <w:r w:rsidR="0086259F" w:rsidRPr="009A2424">
        <w:rPr>
          <w:sz w:val="28"/>
          <w:szCs w:val="28"/>
        </w:rPr>
        <w:t>г.Нефтеюганска</w:t>
      </w:r>
      <w:proofErr w:type="spellEnd"/>
      <w:r w:rsidR="0086259F" w:rsidRPr="009A2424">
        <w:rPr>
          <w:sz w:val="28"/>
          <w:szCs w:val="28"/>
        </w:rPr>
        <w:t xml:space="preserve"> вдоль </w:t>
      </w:r>
      <w:proofErr w:type="spellStart"/>
      <w:r w:rsidR="0086259F" w:rsidRPr="009A2424">
        <w:rPr>
          <w:sz w:val="28"/>
          <w:szCs w:val="28"/>
        </w:rPr>
        <w:t>ул.Набережная</w:t>
      </w:r>
      <w:proofErr w:type="spellEnd"/>
      <w:r w:rsidR="0086259F" w:rsidRPr="009A2424">
        <w:rPr>
          <w:sz w:val="28"/>
          <w:szCs w:val="28"/>
        </w:rPr>
        <w:t xml:space="preserve">" (участок от </w:t>
      </w:r>
      <w:proofErr w:type="spellStart"/>
      <w:r w:rsidR="0086259F" w:rsidRPr="009A2424">
        <w:rPr>
          <w:sz w:val="28"/>
          <w:szCs w:val="28"/>
        </w:rPr>
        <w:t>ул.Романа</w:t>
      </w:r>
      <w:proofErr w:type="spellEnd"/>
      <w:r w:rsidR="0086259F" w:rsidRPr="009A2424">
        <w:rPr>
          <w:sz w:val="28"/>
          <w:szCs w:val="28"/>
        </w:rPr>
        <w:t xml:space="preserve"> Кузоваткина до </w:t>
      </w:r>
      <w:proofErr w:type="spellStart"/>
      <w:r w:rsidR="0086259F" w:rsidRPr="009A2424">
        <w:rPr>
          <w:sz w:val="28"/>
          <w:szCs w:val="28"/>
        </w:rPr>
        <w:t>ул.Нефтяников</w:t>
      </w:r>
      <w:proofErr w:type="spellEnd"/>
      <w:r w:rsidR="0086259F" w:rsidRPr="009A2424">
        <w:rPr>
          <w:sz w:val="28"/>
          <w:szCs w:val="28"/>
        </w:rPr>
        <w:t>)»</w:t>
      </w:r>
      <w:r w:rsidR="0086259F">
        <w:rPr>
          <w:sz w:val="28"/>
          <w:szCs w:val="28"/>
        </w:rPr>
        <w:t xml:space="preserve"> в сумме </w:t>
      </w:r>
      <w:r w:rsidR="0086259F" w:rsidRPr="009A2424">
        <w:rPr>
          <w:sz w:val="28"/>
          <w:szCs w:val="28"/>
        </w:rPr>
        <w:t>106</w:t>
      </w:r>
      <w:r w:rsidR="0086259F">
        <w:rPr>
          <w:sz w:val="28"/>
          <w:szCs w:val="28"/>
        </w:rPr>
        <w:t> </w:t>
      </w:r>
      <w:r w:rsidR="0086259F" w:rsidRPr="009A2424">
        <w:rPr>
          <w:sz w:val="28"/>
          <w:szCs w:val="28"/>
        </w:rPr>
        <w:t>068</w:t>
      </w:r>
      <w:r w:rsidR="0086259F">
        <w:rPr>
          <w:sz w:val="28"/>
          <w:szCs w:val="28"/>
        </w:rPr>
        <w:t>,</w:t>
      </w:r>
      <w:r w:rsidR="0086259F" w:rsidRPr="009A2424">
        <w:rPr>
          <w:sz w:val="28"/>
          <w:szCs w:val="28"/>
        </w:rPr>
        <w:t>261</w:t>
      </w:r>
      <w:r w:rsidR="0086259F">
        <w:rPr>
          <w:sz w:val="28"/>
          <w:szCs w:val="28"/>
        </w:rPr>
        <w:t xml:space="preserve"> тыс. рублей</w:t>
      </w:r>
      <w:r w:rsidR="0086259F" w:rsidRPr="009A2424">
        <w:rPr>
          <w:sz w:val="28"/>
          <w:szCs w:val="28"/>
        </w:rPr>
        <w:t>;</w:t>
      </w:r>
    </w:p>
    <w:p w:rsidR="00D02DC5" w:rsidRDefault="0086259F" w:rsidP="0086259F">
      <w:pPr>
        <w:tabs>
          <w:tab w:val="left" w:pos="0"/>
        </w:tabs>
        <w:jc w:val="both"/>
        <w:rPr>
          <w:sz w:val="28"/>
          <w:szCs w:val="28"/>
        </w:rPr>
      </w:pPr>
      <w:r>
        <w:rPr>
          <w:sz w:val="28"/>
          <w:szCs w:val="28"/>
        </w:rPr>
        <w:tab/>
        <w:t xml:space="preserve">- уменьшение </w:t>
      </w:r>
      <w:r w:rsidR="00D02DC5">
        <w:rPr>
          <w:sz w:val="28"/>
          <w:szCs w:val="28"/>
        </w:rPr>
        <w:t>в общей сумме 4 074,119 рублей</w:t>
      </w:r>
      <w:r w:rsidR="00D02DC5" w:rsidRPr="00D02DC5">
        <w:rPr>
          <w:sz w:val="28"/>
          <w:szCs w:val="28"/>
        </w:rPr>
        <w:t xml:space="preserve"> </w:t>
      </w:r>
      <w:r w:rsidR="00D02DC5">
        <w:rPr>
          <w:sz w:val="28"/>
          <w:szCs w:val="28"/>
        </w:rPr>
        <w:t xml:space="preserve">в целях </w:t>
      </w:r>
      <w:r w:rsidR="00D02DC5" w:rsidRPr="009A2424">
        <w:rPr>
          <w:sz w:val="28"/>
          <w:szCs w:val="28"/>
        </w:rPr>
        <w:t>перераспредел</w:t>
      </w:r>
      <w:r w:rsidR="00D02DC5">
        <w:rPr>
          <w:sz w:val="28"/>
          <w:szCs w:val="28"/>
        </w:rPr>
        <w:t>ения</w:t>
      </w:r>
      <w:r w:rsidR="00D02DC5" w:rsidRPr="009A2424">
        <w:rPr>
          <w:sz w:val="28"/>
          <w:szCs w:val="28"/>
        </w:rPr>
        <w:t xml:space="preserve"> на новое мероприятие «Предоставление субсидии застройщикам (инвесторам) на возмещение части затрат, понесенных застройщиком (инвестором) на выплату собственникам выкупной стоимости жилых помещений из расселяемого </w:t>
      </w:r>
      <w:r w:rsidR="00D02DC5" w:rsidRPr="009A2424">
        <w:rPr>
          <w:sz w:val="28"/>
          <w:szCs w:val="28"/>
        </w:rPr>
        <w:lastRenderedPageBreak/>
        <w:t>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w:t>
      </w:r>
      <w:r w:rsidR="00D02DC5">
        <w:rPr>
          <w:sz w:val="28"/>
          <w:szCs w:val="28"/>
        </w:rPr>
        <w:t>», из них:</w:t>
      </w:r>
    </w:p>
    <w:p w:rsidR="00D02DC5" w:rsidRDefault="00D02DC5" w:rsidP="0086259F">
      <w:pPr>
        <w:tabs>
          <w:tab w:val="left" w:pos="0"/>
        </w:tabs>
        <w:jc w:val="both"/>
        <w:rPr>
          <w:sz w:val="28"/>
          <w:szCs w:val="28"/>
        </w:rPr>
      </w:pPr>
      <w:r>
        <w:rPr>
          <w:sz w:val="28"/>
          <w:szCs w:val="28"/>
        </w:rPr>
        <w:tab/>
        <w:t xml:space="preserve">- </w:t>
      </w:r>
      <w:r w:rsidRPr="009A2424">
        <w:rPr>
          <w:sz w:val="28"/>
          <w:szCs w:val="28"/>
        </w:rPr>
        <w:t xml:space="preserve">средства окружного бюджета </w:t>
      </w:r>
      <w:r>
        <w:rPr>
          <w:sz w:val="28"/>
          <w:szCs w:val="28"/>
        </w:rPr>
        <w:t>в сумме</w:t>
      </w:r>
      <w:r w:rsidRPr="009A2424">
        <w:rPr>
          <w:sz w:val="28"/>
          <w:szCs w:val="28"/>
        </w:rPr>
        <w:t xml:space="preserve"> 3</w:t>
      </w:r>
      <w:r>
        <w:rPr>
          <w:sz w:val="28"/>
          <w:szCs w:val="28"/>
        </w:rPr>
        <w:t> </w:t>
      </w:r>
      <w:r w:rsidRPr="009A2424">
        <w:rPr>
          <w:sz w:val="28"/>
          <w:szCs w:val="28"/>
        </w:rPr>
        <w:t>707</w:t>
      </w:r>
      <w:r>
        <w:rPr>
          <w:sz w:val="28"/>
          <w:szCs w:val="28"/>
        </w:rPr>
        <w:t>,</w:t>
      </w:r>
      <w:r w:rsidRPr="009A2424">
        <w:rPr>
          <w:sz w:val="28"/>
          <w:szCs w:val="28"/>
        </w:rPr>
        <w:t>448</w:t>
      </w:r>
      <w:r>
        <w:rPr>
          <w:sz w:val="28"/>
          <w:szCs w:val="28"/>
        </w:rPr>
        <w:t xml:space="preserve"> тыс. рублей;</w:t>
      </w:r>
    </w:p>
    <w:p w:rsidR="0086259F" w:rsidRDefault="00D02DC5" w:rsidP="0086259F">
      <w:pPr>
        <w:tabs>
          <w:tab w:val="left" w:pos="0"/>
        </w:tabs>
        <w:jc w:val="both"/>
        <w:rPr>
          <w:sz w:val="28"/>
          <w:szCs w:val="28"/>
        </w:rPr>
      </w:pPr>
      <w:r>
        <w:rPr>
          <w:sz w:val="28"/>
          <w:szCs w:val="28"/>
        </w:rPr>
        <w:tab/>
        <w:t xml:space="preserve">- </w:t>
      </w:r>
      <w:r w:rsidR="0086259F">
        <w:rPr>
          <w:sz w:val="28"/>
          <w:szCs w:val="28"/>
        </w:rPr>
        <w:t xml:space="preserve">средства местного бюджета в сумме </w:t>
      </w:r>
      <w:r w:rsidR="0086259F" w:rsidRPr="009A2424">
        <w:rPr>
          <w:sz w:val="28"/>
          <w:szCs w:val="28"/>
        </w:rPr>
        <w:t>366</w:t>
      </w:r>
      <w:r w:rsidR="0086259F">
        <w:rPr>
          <w:sz w:val="28"/>
          <w:szCs w:val="28"/>
        </w:rPr>
        <w:t>,</w:t>
      </w:r>
      <w:r w:rsidR="0086259F" w:rsidRPr="009A2424">
        <w:rPr>
          <w:sz w:val="28"/>
          <w:szCs w:val="28"/>
        </w:rPr>
        <w:t>671</w:t>
      </w:r>
      <w:r w:rsidR="0086259F">
        <w:rPr>
          <w:sz w:val="28"/>
          <w:szCs w:val="28"/>
        </w:rPr>
        <w:t xml:space="preserve"> тыс. рублей</w:t>
      </w:r>
      <w:r>
        <w:rPr>
          <w:sz w:val="28"/>
          <w:szCs w:val="28"/>
        </w:rPr>
        <w:t>.</w:t>
      </w:r>
    </w:p>
    <w:p w:rsidR="00C83A7A" w:rsidRDefault="003C5792" w:rsidP="003C5792">
      <w:pPr>
        <w:tabs>
          <w:tab w:val="left" w:pos="0"/>
        </w:tabs>
        <w:jc w:val="both"/>
        <w:rPr>
          <w:sz w:val="28"/>
          <w:szCs w:val="28"/>
        </w:rPr>
      </w:pPr>
      <w:r>
        <w:rPr>
          <w:sz w:val="28"/>
          <w:szCs w:val="28"/>
        </w:rPr>
        <w:tab/>
        <w:t xml:space="preserve">3.2.2. По основному </w:t>
      </w:r>
      <w:r w:rsidRPr="003C5792">
        <w:rPr>
          <w:sz w:val="28"/>
          <w:szCs w:val="28"/>
        </w:rPr>
        <w:t>мероприяти</w:t>
      </w:r>
      <w:r>
        <w:rPr>
          <w:sz w:val="28"/>
          <w:szCs w:val="28"/>
        </w:rPr>
        <w:t>ю</w:t>
      </w:r>
      <w:r w:rsidRPr="003C5792">
        <w:rPr>
          <w:sz w:val="28"/>
          <w:szCs w:val="28"/>
        </w:rPr>
        <w:t xml:space="preserve"> «Предоставление субсидии застройщикам (инвесторам) на возмещение части затрат, понесенных застройщиком (инвестором) на выплату собственникам выкупной стоимости жилых помещений из расселяемого аварийного жилищного фонда, на возмещение стоимости (себестоимости) строительства (приобретения) квартир, передаваемых застройщиком (инвестором) в орган местного самоуправления во исполнение обязательств по заключенным договорам о развитии застроенной территории»</w:t>
      </w:r>
      <w:r>
        <w:rPr>
          <w:sz w:val="28"/>
          <w:szCs w:val="28"/>
        </w:rPr>
        <w:t xml:space="preserve"> </w:t>
      </w:r>
      <w:r w:rsidRPr="003C5792">
        <w:rPr>
          <w:sz w:val="28"/>
          <w:szCs w:val="28"/>
        </w:rPr>
        <w:t>подпрограмм</w:t>
      </w:r>
      <w:r>
        <w:rPr>
          <w:sz w:val="28"/>
          <w:szCs w:val="28"/>
        </w:rPr>
        <w:t>ы</w:t>
      </w:r>
      <w:r w:rsidRPr="003C5792">
        <w:rPr>
          <w:sz w:val="28"/>
          <w:szCs w:val="28"/>
        </w:rPr>
        <w:t xml:space="preserve"> «Стимулирование развития жилищного строительства» </w:t>
      </w:r>
      <w:r w:rsidR="00A61BDD">
        <w:rPr>
          <w:sz w:val="28"/>
          <w:szCs w:val="28"/>
        </w:rPr>
        <w:t xml:space="preserve">увеличить бюджетные ассигнования </w:t>
      </w:r>
      <w:r>
        <w:rPr>
          <w:sz w:val="28"/>
          <w:szCs w:val="28"/>
        </w:rPr>
        <w:t xml:space="preserve">по соисполнителю </w:t>
      </w:r>
      <w:r w:rsidR="00C83A7A">
        <w:rPr>
          <w:sz w:val="28"/>
          <w:szCs w:val="28"/>
        </w:rPr>
        <w:t xml:space="preserve">– департаменту муниципального имущества администрации города Нефтеюганска </w:t>
      </w:r>
      <w:r w:rsidRPr="003C5792">
        <w:rPr>
          <w:sz w:val="28"/>
          <w:szCs w:val="28"/>
        </w:rPr>
        <w:t>сумме 4 074,119 рублей</w:t>
      </w:r>
      <w:r w:rsidR="00C83A7A">
        <w:rPr>
          <w:sz w:val="28"/>
          <w:szCs w:val="28"/>
        </w:rPr>
        <w:t>, в том числе:</w:t>
      </w:r>
    </w:p>
    <w:p w:rsidR="003C5792" w:rsidRPr="003C5792" w:rsidRDefault="00C83A7A" w:rsidP="00C83A7A">
      <w:pPr>
        <w:tabs>
          <w:tab w:val="left" w:pos="0"/>
        </w:tabs>
        <w:ind w:firstLine="709"/>
        <w:jc w:val="both"/>
        <w:rPr>
          <w:sz w:val="28"/>
          <w:szCs w:val="28"/>
        </w:rPr>
      </w:pPr>
      <w:r>
        <w:rPr>
          <w:sz w:val="28"/>
          <w:szCs w:val="28"/>
        </w:rPr>
        <w:t xml:space="preserve">- </w:t>
      </w:r>
      <w:r w:rsidR="003C5792" w:rsidRPr="003C5792">
        <w:rPr>
          <w:sz w:val="28"/>
          <w:szCs w:val="28"/>
        </w:rPr>
        <w:t>средств</w:t>
      </w:r>
      <w:r>
        <w:rPr>
          <w:sz w:val="28"/>
          <w:szCs w:val="28"/>
        </w:rPr>
        <w:t>а</w:t>
      </w:r>
      <w:r w:rsidR="003C5792" w:rsidRPr="003C5792">
        <w:rPr>
          <w:sz w:val="28"/>
          <w:szCs w:val="28"/>
        </w:rPr>
        <w:t xml:space="preserve"> местного бюджета </w:t>
      </w:r>
      <w:r>
        <w:rPr>
          <w:sz w:val="28"/>
          <w:szCs w:val="28"/>
        </w:rPr>
        <w:t>в сумме</w:t>
      </w:r>
      <w:r w:rsidR="003C5792" w:rsidRPr="003C5792">
        <w:rPr>
          <w:sz w:val="28"/>
          <w:szCs w:val="28"/>
        </w:rPr>
        <w:t xml:space="preserve"> 366</w:t>
      </w:r>
      <w:r>
        <w:rPr>
          <w:sz w:val="28"/>
          <w:szCs w:val="28"/>
        </w:rPr>
        <w:t>,</w:t>
      </w:r>
      <w:r w:rsidR="003C5792" w:rsidRPr="003C5792">
        <w:rPr>
          <w:sz w:val="28"/>
          <w:szCs w:val="28"/>
        </w:rPr>
        <w:t>671</w:t>
      </w:r>
      <w:r>
        <w:rPr>
          <w:sz w:val="28"/>
          <w:szCs w:val="28"/>
        </w:rPr>
        <w:t xml:space="preserve"> тыс. </w:t>
      </w:r>
      <w:r w:rsidR="003C5792" w:rsidRPr="003C5792">
        <w:rPr>
          <w:sz w:val="28"/>
          <w:szCs w:val="28"/>
        </w:rPr>
        <w:t>рубл</w:t>
      </w:r>
      <w:r>
        <w:rPr>
          <w:sz w:val="28"/>
          <w:szCs w:val="28"/>
        </w:rPr>
        <w:t>ей</w:t>
      </w:r>
      <w:r w:rsidR="003C5792" w:rsidRPr="003C5792">
        <w:rPr>
          <w:sz w:val="28"/>
          <w:szCs w:val="28"/>
        </w:rPr>
        <w:t>;</w:t>
      </w:r>
    </w:p>
    <w:p w:rsidR="003C5792" w:rsidRPr="009A2424" w:rsidRDefault="00C83A7A" w:rsidP="00C83A7A">
      <w:pPr>
        <w:tabs>
          <w:tab w:val="left" w:pos="0"/>
        </w:tabs>
        <w:ind w:firstLine="709"/>
        <w:jc w:val="both"/>
        <w:rPr>
          <w:sz w:val="28"/>
          <w:szCs w:val="28"/>
        </w:rPr>
      </w:pPr>
      <w:r>
        <w:rPr>
          <w:sz w:val="28"/>
          <w:szCs w:val="28"/>
        </w:rPr>
        <w:t xml:space="preserve">- </w:t>
      </w:r>
      <w:r w:rsidR="003C5792" w:rsidRPr="003C5792">
        <w:rPr>
          <w:sz w:val="28"/>
          <w:szCs w:val="28"/>
        </w:rPr>
        <w:t>средств</w:t>
      </w:r>
      <w:r>
        <w:rPr>
          <w:sz w:val="28"/>
          <w:szCs w:val="28"/>
        </w:rPr>
        <w:t>а</w:t>
      </w:r>
      <w:r w:rsidR="003C5792" w:rsidRPr="003C5792">
        <w:rPr>
          <w:sz w:val="28"/>
          <w:szCs w:val="28"/>
        </w:rPr>
        <w:t xml:space="preserve"> окружного бюджета – 3</w:t>
      </w:r>
      <w:r>
        <w:rPr>
          <w:sz w:val="28"/>
          <w:szCs w:val="28"/>
        </w:rPr>
        <w:t> </w:t>
      </w:r>
      <w:r w:rsidR="003C5792" w:rsidRPr="003C5792">
        <w:rPr>
          <w:sz w:val="28"/>
          <w:szCs w:val="28"/>
        </w:rPr>
        <w:t>707</w:t>
      </w:r>
      <w:r>
        <w:rPr>
          <w:sz w:val="28"/>
          <w:szCs w:val="28"/>
        </w:rPr>
        <w:t>,</w:t>
      </w:r>
      <w:r w:rsidR="003C5792" w:rsidRPr="003C5792">
        <w:rPr>
          <w:sz w:val="28"/>
          <w:szCs w:val="28"/>
        </w:rPr>
        <w:t>448</w:t>
      </w:r>
      <w:r>
        <w:rPr>
          <w:sz w:val="28"/>
          <w:szCs w:val="28"/>
        </w:rPr>
        <w:t xml:space="preserve"> тыс. </w:t>
      </w:r>
      <w:r w:rsidR="003C5792" w:rsidRPr="003C5792">
        <w:rPr>
          <w:sz w:val="28"/>
          <w:szCs w:val="28"/>
        </w:rPr>
        <w:t>рублей.</w:t>
      </w:r>
    </w:p>
    <w:p w:rsidR="00A61BDD" w:rsidRPr="00A61BDD" w:rsidRDefault="00A61BDD" w:rsidP="00A61BDD">
      <w:pPr>
        <w:tabs>
          <w:tab w:val="left" w:pos="0"/>
        </w:tabs>
        <w:jc w:val="both"/>
        <w:rPr>
          <w:sz w:val="28"/>
          <w:szCs w:val="28"/>
        </w:rPr>
      </w:pPr>
      <w:r>
        <w:rPr>
          <w:sz w:val="28"/>
          <w:szCs w:val="28"/>
        </w:rPr>
        <w:tab/>
        <w:t>3.2.3. По</w:t>
      </w:r>
      <w:r w:rsidRPr="00A61BDD">
        <w:rPr>
          <w:sz w:val="28"/>
          <w:szCs w:val="28"/>
        </w:rPr>
        <w:t xml:space="preserve"> основно</w:t>
      </w:r>
      <w:r>
        <w:rPr>
          <w:sz w:val="28"/>
          <w:szCs w:val="28"/>
        </w:rPr>
        <w:t>му</w:t>
      </w:r>
      <w:r w:rsidRPr="00A61BDD">
        <w:rPr>
          <w:sz w:val="28"/>
          <w:szCs w:val="28"/>
        </w:rPr>
        <w:t xml:space="preserve"> мероприяти</w:t>
      </w:r>
      <w:r>
        <w:rPr>
          <w:sz w:val="28"/>
          <w:szCs w:val="28"/>
        </w:rPr>
        <w:t>ю</w:t>
      </w:r>
      <w:r w:rsidRPr="00A61BDD">
        <w:rPr>
          <w:sz w:val="28"/>
          <w:szCs w:val="28"/>
        </w:rPr>
        <w:t xml:space="preserve"> «Ликвидация и расселение приспособленных для проживания строений» подпрограммы «Переселение граждан из непригодного для проживания жилищного фонда» </w:t>
      </w:r>
      <w:r>
        <w:rPr>
          <w:sz w:val="28"/>
          <w:szCs w:val="28"/>
        </w:rPr>
        <w:t>увеличить бюджетные ассигнования соисполнителю муниципальной программы – департаменту жилищно-коммунального хозяйства администрации города Нефтеюганска</w:t>
      </w:r>
      <w:r w:rsidRPr="00A61BDD">
        <w:rPr>
          <w:sz w:val="28"/>
          <w:szCs w:val="28"/>
        </w:rPr>
        <w:t xml:space="preserve"> в общей сумме 8</w:t>
      </w:r>
      <w:r>
        <w:rPr>
          <w:sz w:val="28"/>
          <w:szCs w:val="28"/>
        </w:rPr>
        <w:t> </w:t>
      </w:r>
      <w:r w:rsidRPr="00A61BDD">
        <w:rPr>
          <w:sz w:val="28"/>
          <w:szCs w:val="28"/>
        </w:rPr>
        <w:t>565</w:t>
      </w:r>
      <w:r>
        <w:rPr>
          <w:sz w:val="28"/>
          <w:szCs w:val="28"/>
        </w:rPr>
        <w:t>,</w:t>
      </w:r>
      <w:r w:rsidRPr="00A61BDD">
        <w:rPr>
          <w:sz w:val="28"/>
          <w:szCs w:val="28"/>
        </w:rPr>
        <w:t xml:space="preserve">571 </w:t>
      </w:r>
      <w:r>
        <w:rPr>
          <w:sz w:val="28"/>
          <w:szCs w:val="28"/>
        </w:rPr>
        <w:t>тыс. рублей</w:t>
      </w:r>
      <w:r w:rsidRPr="00A61BDD">
        <w:rPr>
          <w:sz w:val="28"/>
          <w:szCs w:val="28"/>
        </w:rPr>
        <w:t>, в том числе на:</w:t>
      </w:r>
    </w:p>
    <w:p w:rsidR="006A7639" w:rsidRPr="006A7639" w:rsidRDefault="006A7639" w:rsidP="006A7639">
      <w:pPr>
        <w:tabs>
          <w:tab w:val="left" w:pos="0"/>
        </w:tabs>
        <w:ind w:firstLine="567"/>
        <w:jc w:val="both"/>
        <w:rPr>
          <w:sz w:val="28"/>
          <w:szCs w:val="28"/>
        </w:rPr>
      </w:pPr>
      <w:r w:rsidRPr="006A7639">
        <w:rPr>
          <w:sz w:val="28"/>
          <w:szCs w:val="28"/>
        </w:rPr>
        <w:t>- выплату субсидии на приобретение жилого помещения (доля софинансирования) в сумме 8</w:t>
      </w:r>
      <w:r>
        <w:rPr>
          <w:sz w:val="28"/>
          <w:szCs w:val="28"/>
        </w:rPr>
        <w:t> </w:t>
      </w:r>
      <w:r w:rsidRPr="006A7639">
        <w:rPr>
          <w:sz w:val="28"/>
          <w:szCs w:val="28"/>
        </w:rPr>
        <w:t>039</w:t>
      </w:r>
      <w:r>
        <w:rPr>
          <w:sz w:val="28"/>
          <w:szCs w:val="28"/>
        </w:rPr>
        <w:t>,</w:t>
      </w:r>
      <w:r w:rsidRPr="006A7639">
        <w:rPr>
          <w:sz w:val="28"/>
          <w:szCs w:val="28"/>
        </w:rPr>
        <w:t xml:space="preserve">627 </w:t>
      </w:r>
      <w:r>
        <w:rPr>
          <w:sz w:val="28"/>
          <w:szCs w:val="28"/>
        </w:rPr>
        <w:t xml:space="preserve">тыс. </w:t>
      </w:r>
      <w:r w:rsidRPr="006A7639">
        <w:rPr>
          <w:sz w:val="28"/>
          <w:szCs w:val="28"/>
        </w:rPr>
        <w:t>рублей;</w:t>
      </w:r>
    </w:p>
    <w:p w:rsidR="0086259F" w:rsidRDefault="006A7639" w:rsidP="006A7639">
      <w:pPr>
        <w:tabs>
          <w:tab w:val="left" w:pos="0"/>
        </w:tabs>
        <w:ind w:firstLine="567"/>
        <w:jc w:val="both"/>
        <w:rPr>
          <w:sz w:val="28"/>
          <w:szCs w:val="28"/>
        </w:rPr>
      </w:pPr>
      <w:r w:rsidRPr="006A7639">
        <w:rPr>
          <w:sz w:val="28"/>
          <w:szCs w:val="28"/>
        </w:rPr>
        <w:t xml:space="preserve">- ликвидацию приспособленных для проживания строений (снос </w:t>
      </w:r>
      <w:proofErr w:type="spellStart"/>
      <w:r w:rsidRPr="006A7639">
        <w:rPr>
          <w:sz w:val="28"/>
          <w:szCs w:val="28"/>
        </w:rPr>
        <w:t>балков</w:t>
      </w:r>
      <w:proofErr w:type="spellEnd"/>
      <w:r w:rsidRPr="006A7639">
        <w:rPr>
          <w:sz w:val="28"/>
          <w:szCs w:val="28"/>
        </w:rPr>
        <w:t>) в сумме 525</w:t>
      </w:r>
      <w:r>
        <w:rPr>
          <w:sz w:val="28"/>
          <w:szCs w:val="28"/>
        </w:rPr>
        <w:t>,</w:t>
      </w:r>
      <w:r w:rsidRPr="006A7639">
        <w:rPr>
          <w:sz w:val="28"/>
          <w:szCs w:val="28"/>
        </w:rPr>
        <w:t>944</w:t>
      </w:r>
      <w:r>
        <w:rPr>
          <w:sz w:val="28"/>
          <w:szCs w:val="28"/>
        </w:rPr>
        <w:t xml:space="preserve"> тыс.</w:t>
      </w:r>
      <w:r w:rsidRPr="006A7639">
        <w:rPr>
          <w:sz w:val="28"/>
          <w:szCs w:val="28"/>
        </w:rPr>
        <w:t xml:space="preserve"> рубл</w:t>
      </w:r>
      <w:r>
        <w:rPr>
          <w:sz w:val="28"/>
          <w:szCs w:val="28"/>
        </w:rPr>
        <w:t>ей</w:t>
      </w:r>
      <w:r w:rsidRPr="006A7639">
        <w:rPr>
          <w:sz w:val="28"/>
          <w:szCs w:val="28"/>
        </w:rPr>
        <w:t>.</w:t>
      </w:r>
    </w:p>
    <w:p w:rsidR="00FC74A3" w:rsidRPr="00FC74A3" w:rsidRDefault="006A7639" w:rsidP="009A2424">
      <w:pPr>
        <w:tabs>
          <w:tab w:val="left" w:pos="0"/>
        </w:tabs>
        <w:jc w:val="both"/>
        <w:rPr>
          <w:sz w:val="28"/>
          <w:szCs w:val="28"/>
        </w:rPr>
      </w:pPr>
      <w:r>
        <w:rPr>
          <w:sz w:val="28"/>
          <w:szCs w:val="28"/>
        </w:rPr>
        <w:tab/>
      </w:r>
      <w:r w:rsidR="00FC74A3" w:rsidRPr="00FC74A3">
        <w:rPr>
          <w:sz w:val="28"/>
          <w:szCs w:val="28"/>
        </w:rPr>
        <w:t xml:space="preserve">4. Финансовые показатели, содержащиеся в проекте изменений, соответствуют </w:t>
      </w:r>
      <w:r w:rsidR="000856B3">
        <w:rPr>
          <w:sz w:val="28"/>
          <w:szCs w:val="28"/>
        </w:rPr>
        <w:t>обоснованиям</w:t>
      </w:r>
      <w:r w:rsidR="00FC74A3" w:rsidRPr="00FC74A3">
        <w:rPr>
          <w:sz w:val="28"/>
          <w:szCs w:val="28"/>
        </w:rPr>
        <w:t>, предоставленн</w:t>
      </w:r>
      <w:r w:rsidR="000856B3">
        <w:rPr>
          <w:sz w:val="28"/>
          <w:szCs w:val="28"/>
        </w:rPr>
        <w:t>ым</w:t>
      </w:r>
      <w:r w:rsidR="00FC74A3" w:rsidRPr="00FC74A3">
        <w:rPr>
          <w:sz w:val="28"/>
          <w:szCs w:val="28"/>
        </w:rPr>
        <w:t xml:space="preserve"> на экспертизу.</w:t>
      </w:r>
    </w:p>
    <w:p w:rsidR="006A7639" w:rsidRPr="006A7639" w:rsidRDefault="006A7639" w:rsidP="006A7639">
      <w:pPr>
        <w:tabs>
          <w:tab w:val="left" w:pos="0"/>
        </w:tabs>
        <w:jc w:val="both"/>
        <w:rPr>
          <w:sz w:val="28"/>
          <w:szCs w:val="28"/>
        </w:rPr>
      </w:pPr>
      <w:r>
        <w:rPr>
          <w:sz w:val="28"/>
          <w:szCs w:val="28"/>
        </w:rPr>
        <w:tab/>
      </w:r>
      <w:r w:rsidRPr="006A7639">
        <w:rPr>
          <w:sz w:val="28"/>
          <w:szCs w:val="28"/>
        </w:rPr>
        <w:t xml:space="preserve">По итогам проведения финансово-экономической экспертизы, предлагаем направить проект изменений на утверждение с учётом рекомендаций, отражённой в настоящем заключении. </w:t>
      </w:r>
    </w:p>
    <w:p w:rsidR="006A7639" w:rsidRPr="006A7639" w:rsidRDefault="006A7639" w:rsidP="006A7639">
      <w:pPr>
        <w:tabs>
          <w:tab w:val="left" w:pos="0"/>
        </w:tabs>
        <w:jc w:val="both"/>
        <w:rPr>
          <w:sz w:val="28"/>
          <w:szCs w:val="28"/>
        </w:rPr>
      </w:pPr>
      <w:r>
        <w:rPr>
          <w:sz w:val="28"/>
          <w:szCs w:val="28"/>
        </w:rPr>
        <w:tab/>
      </w:r>
      <w:r w:rsidRPr="006A7639">
        <w:rPr>
          <w:sz w:val="28"/>
          <w:szCs w:val="28"/>
        </w:rPr>
        <w:t xml:space="preserve">Информацию о решении, принятых по результатам рассмотрения настоящего заключении, направить в адрес Счётной палаты до </w:t>
      </w:r>
      <w:r w:rsidR="00713FB1">
        <w:rPr>
          <w:sz w:val="28"/>
          <w:szCs w:val="28"/>
        </w:rPr>
        <w:t>25.02</w:t>
      </w:r>
      <w:r w:rsidRPr="006A7639">
        <w:rPr>
          <w:sz w:val="28"/>
          <w:szCs w:val="28"/>
        </w:rPr>
        <w:t>.20</w:t>
      </w:r>
      <w:r w:rsidR="00713FB1">
        <w:rPr>
          <w:sz w:val="28"/>
          <w:szCs w:val="28"/>
        </w:rPr>
        <w:t>20</w:t>
      </w:r>
      <w:r w:rsidRPr="006A7639">
        <w:rPr>
          <w:sz w:val="28"/>
          <w:szCs w:val="28"/>
        </w:rPr>
        <w:t xml:space="preserve"> года.</w:t>
      </w:r>
    </w:p>
    <w:p w:rsidR="00FC74A3" w:rsidRPr="00FC74A3" w:rsidRDefault="00FC74A3" w:rsidP="00844D55">
      <w:pPr>
        <w:tabs>
          <w:tab w:val="left" w:pos="0"/>
        </w:tabs>
        <w:jc w:val="both"/>
        <w:rPr>
          <w:sz w:val="28"/>
          <w:szCs w:val="28"/>
        </w:rPr>
      </w:pPr>
    </w:p>
    <w:p w:rsidR="00C47B1F" w:rsidRPr="00FC74A3" w:rsidRDefault="00C47B1F" w:rsidP="00844D55">
      <w:pPr>
        <w:widowControl w:val="0"/>
        <w:tabs>
          <w:tab w:val="left" w:pos="709"/>
        </w:tabs>
        <w:jc w:val="both"/>
        <w:rPr>
          <w:sz w:val="20"/>
        </w:rPr>
      </w:pPr>
    </w:p>
    <w:p w:rsidR="00E77CC7" w:rsidRDefault="00E77CC7" w:rsidP="003B4572">
      <w:pPr>
        <w:spacing w:line="276" w:lineRule="auto"/>
        <w:jc w:val="both"/>
        <w:rPr>
          <w:sz w:val="28"/>
        </w:rPr>
      </w:pPr>
    </w:p>
    <w:p w:rsidR="008B01A5" w:rsidRDefault="008B01A5" w:rsidP="003B4572">
      <w:pPr>
        <w:spacing w:line="276" w:lineRule="auto"/>
        <w:jc w:val="both"/>
        <w:rPr>
          <w:sz w:val="28"/>
        </w:rPr>
      </w:pPr>
    </w:p>
    <w:p w:rsidR="00C47B1F" w:rsidRDefault="00FC74A3" w:rsidP="003B4572">
      <w:pPr>
        <w:tabs>
          <w:tab w:val="left" w:pos="0"/>
        </w:tabs>
        <w:spacing w:line="276" w:lineRule="auto"/>
        <w:jc w:val="both"/>
        <w:rPr>
          <w:sz w:val="20"/>
        </w:rPr>
      </w:pPr>
      <w:r>
        <w:rPr>
          <w:sz w:val="28"/>
        </w:rPr>
        <w:t>П</w:t>
      </w:r>
      <w:r w:rsidR="00D55BF1">
        <w:rPr>
          <w:sz w:val="28"/>
        </w:rPr>
        <w:t>редседател</w:t>
      </w:r>
      <w:r>
        <w:rPr>
          <w:sz w:val="28"/>
        </w:rPr>
        <w:t>ь</w:t>
      </w:r>
      <w:r w:rsidR="005F0AF4">
        <w:rPr>
          <w:sz w:val="28"/>
        </w:rPr>
        <w:t xml:space="preserve"> </w:t>
      </w:r>
      <w:r w:rsidR="00D55BF1">
        <w:rPr>
          <w:sz w:val="28"/>
        </w:rPr>
        <w:t xml:space="preserve">                                  </w:t>
      </w:r>
      <w:r w:rsidR="00D55BF1">
        <w:rPr>
          <w:sz w:val="28"/>
        </w:rPr>
        <w:tab/>
      </w:r>
      <w:r w:rsidR="00D55BF1">
        <w:rPr>
          <w:sz w:val="28"/>
        </w:rPr>
        <w:tab/>
      </w:r>
      <w:r w:rsidR="00D55BF1">
        <w:rPr>
          <w:sz w:val="28"/>
        </w:rPr>
        <w:tab/>
      </w:r>
      <w:r w:rsidR="005F0AF4">
        <w:rPr>
          <w:sz w:val="28"/>
        </w:rPr>
        <w:t xml:space="preserve">   </w:t>
      </w:r>
      <w:r>
        <w:rPr>
          <w:sz w:val="28"/>
        </w:rPr>
        <w:tab/>
      </w:r>
      <w:r>
        <w:rPr>
          <w:sz w:val="28"/>
        </w:rPr>
        <w:tab/>
      </w:r>
      <w:r w:rsidR="005F0AF4">
        <w:rPr>
          <w:sz w:val="28"/>
        </w:rPr>
        <w:t xml:space="preserve"> </w:t>
      </w:r>
      <w:r w:rsidR="00844D55">
        <w:rPr>
          <w:sz w:val="28"/>
        </w:rPr>
        <w:t xml:space="preserve">            </w:t>
      </w:r>
      <w:r>
        <w:rPr>
          <w:sz w:val="28"/>
        </w:rPr>
        <w:t xml:space="preserve">С.А. </w:t>
      </w:r>
      <w:proofErr w:type="spellStart"/>
      <w:r>
        <w:rPr>
          <w:sz w:val="28"/>
        </w:rPr>
        <w:t>Гичкина</w:t>
      </w:r>
      <w:proofErr w:type="spellEnd"/>
    </w:p>
    <w:p w:rsidR="009D0BCE" w:rsidRDefault="009D0BCE">
      <w:pPr>
        <w:tabs>
          <w:tab w:val="left" w:pos="0"/>
        </w:tabs>
        <w:jc w:val="both"/>
        <w:rPr>
          <w:sz w:val="16"/>
          <w:szCs w:val="16"/>
        </w:rPr>
      </w:pPr>
    </w:p>
    <w:p w:rsidR="00486C6D" w:rsidRPr="00486C6D" w:rsidRDefault="00486C6D">
      <w:pPr>
        <w:tabs>
          <w:tab w:val="left" w:pos="0"/>
        </w:tabs>
        <w:jc w:val="both"/>
        <w:rPr>
          <w:sz w:val="16"/>
          <w:szCs w:val="16"/>
        </w:rPr>
      </w:pPr>
      <w:r w:rsidRPr="00486C6D">
        <w:rPr>
          <w:sz w:val="16"/>
          <w:szCs w:val="16"/>
        </w:rPr>
        <w:t>Исполнитель:</w:t>
      </w:r>
    </w:p>
    <w:p w:rsidR="00486C6D" w:rsidRPr="00486C6D" w:rsidRDefault="009A2424">
      <w:pPr>
        <w:tabs>
          <w:tab w:val="left" w:pos="0"/>
        </w:tabs>
        <w:jc w:val="both"/>
        <w:rPr>
          <w:sz w:val="16"/>
          <w:szCs w:val="16"/>
        </w:rPr>
      </w:pPr>
      <w:r>
        <w:rPr>
          <w:sz w:val="16"/>
          <w:szCs w:val="16"/>
        </w:rPr>
        <w:t xml:space="preserve">Начальник </w:t>
      </w:r>
      <w:r w:rsidR="00486C6D" w:rsidRPr="00486C6D">
        <w:rPr>
          <w:sz w:val="16"/>
          <w:szCs w:val="16"/>
        </w:rPr>
        <w:t xml:space="preserve">инспекторского отдела № </w:t>
      </w:r>
      <w:r>
        <w:rPr>
          <w:sz w:val="16"/>
          <w:szCs w:val="16"/>
        </w:rPr>
        <w:t>2</w:t>
      </w:r>
      <w:r w:rsidR="00486C6D" w:rsidRPr="00486C6D">
        <w:rPr>
          <w:sz w:val="16"/>
          <w:szCs w:val="16"/>
        </w:rPr>
        <w:t xml:space="preserve"> </w:t>
      </w:r>
    </w:p>
    <w:p w:rsidR="00486C6D" w:rsidRPr="00486C6D" w:rsidRDefault="00486C6D">
      <w:pPr>
        <w:tabs>
          <w:tab w:val="left" w:pos="0"/>
        </w:tabs>
        <w:jc w:val="both"/>
        <w:rPr>
          <w:sz w:val="16"/>
          <w:szCs w:val="16"/>
        </w:rPr>
      </w:pPr>
      <w:r w:rsidRPr="00486C6D">
        <w:rPr>
          <w:sz w:val="16"/>
          <w:szCs w:val="16"/>
        </w:rPr>
        <w:t>Счётной палаты города  Нефтеюганска</w:t>
      </w:r>
    </w:p>
    <w:p w:rsidR="00486C6D" w:rsidRPr="00486C6D" w:rsidRDefault="009A2424">
      <w:pPr>
        <w:tabs>
          <w:tab w:val="left" w:pos="0"/>
        </w:tabs>
        <w:jc w:val="both"/>
        <w:rPr>
          <w:sz w:val="16"/>
          <w:szCs w:val="16"/>
        </w:rPr>
      </w:pPr>
      <w:r>
        <w:rPr>
          <w:sz w:val="16"/>
          <w:szCs w:val="16"/>
        </w:rPr>
        <w:t xml:space="preserve">Салахова Дина </w:t>
      </w:r>
      <w:proofErr w:type="spellStart"/>
      <w:r>
        <w:rPr>
          <w:sz w:val="16"/>
          <w:szCs w:val="16"/>
        </w:rPr>
        <w:t>Ирековна</w:t>
      </w:r>
      <w:proofErr w:type="spellEnd"/>
    </w:p>
    <w:p w:rsidR="00486C6D" w:rsidRPr="00486C6D" w:rsidRDefault="00F94251">
      <w:pPr>
        <w:tabs>
          <w:tab w:val="left" w:pos="0"/>
        </w:tabs>
        <w:jc w:val="both"/>
        <w:rPr>
          <w:sz w:val="16"/>
          <w:szCs w:val="16"/>
        </w:rPr>
      </w:pPr>
      <w:r>
        <w:rPr>
          <w:sz w:val="16"/>
          <w:szCs w:val="16"/>
        </w:rPr>
        <w:t>Тел. 8-(3463)-20</w:t>
      </w:r>
      <w:r w:rsidR="009A2424">
        <w:rPr>
          <w:sz w:val="16"/>
          <w:szCs w:val="16"/>
        </w:rPr>
        <w:t>3065</w:t>
      </w:r>
    </w:p>
    <w:sectPr w:rsidR="00486C6D" w:rsidRPr="00486C6D" w:rsidSect="008B01A5">
      <w:headerReference w:type="default" r:id="rId12"/>
      <w:pgSz w:w="11906" w:h="16838"/>
      <w:pgMar w:top="1021" w:right="567" w:bottom="1021" w:left="1701" w:header="709" w:footer="709" w:gutter="0"/>
      <w:cols w:space="720" w:equalWidth="0">
        <w:col w:w="9639"/>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AEB" w:rsidRDefault="009F7AEB">
      <w:r>
        <w:separator/>
      </w:r>
    </w:p>
  </w:endnote>
  <w:endnote w:type="continuationSeparator" w:id="0">
    <w:p w:rsidR="009F7AEB" w:rsidRDefault="009F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XO Thames">
    <w:altName w:val="Times New Roman"/>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AEB" w:rsidRDefault="009F7AEB">
      <w:r>
        <w:separator/>
      </w:r>
    </w:p>
  </w:footnote>
  <w:footnote w:type="continuationSeparator" w:id="0">
    <w:p w:rsidR="009F7AEB" w:rsidRDefault="009F7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B1F" w:rsidRDefault="00D55BF1">
    <w:pPr>
      <w:framePr w:wrap="around" w:vAnchor="text" w:hAnchor="margin" w:xAlign="center" w:y="1"/>
    </w:pPr>
    <w:r>
      <w:fldChar w:fldCharType="begin"/>
    </w:r>
    <w:r>
      <w:instrText xml:space="preserve">PAGE </w:instrText>
    </w:r>
    <w:r>
      <w:fldChar w:fldCharType="separate"/>
    </w:r>
    <w:r w:rsidR="00616718">
      <w:rPr>
        <w:noProof/>
      </w:rPr>
      <w:t>4</w:t>
    </w:r>
    <w:r>
      <w:fldChar w:fldCharType="end"/>
    </w:r>
  </w:p>
  <w:p w:rsidR="00C47B1F" w:rsidRDefault="00C47B1F">
    <w:pPr>
      <w:pStyle w:val="a4"/>
      <w:jc w:val="center"/>
    </w:pPr>
  </w:p>
  <w:p w:rsidR="00C47B1F" w:rsidRDefault="00C47B1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282926"/>
    <w:multiLevelType w:val="multilevel"/>
    <w:tmpl w:val="62CA4756"/>
    <w:lvl w:ilvl="0">
      <w:start w:val="2"/>
      <w:numFmt w:val="decimal"/>
      <w:suff w:val="space"/>
      <w:lvlText w:val="%1."/>
      <w:lvlJc w:val="left"/>
    </w:lvl>
    <w:lvl w:ilvl="1">
      <w:start w:val="1"/>
      <w:numFmt w:val="decimal"/>
      <w:isLgl/>
      <w:lvlText w:val="%1.%2."/>
      <w:lvlJc w:val="left"/>
      <w:pPr>
        <w:ind w:left="1983" w:hanging="1275"/>
      </w:pPr>
      <w:rPr>
        <w:rFonts w:hint="default"/>
      </w:rPr>
    </w:lvl>
    <w:lvl w:ilvl="2">
      <w:start w:val="1"/>
      <w:numFmt w:val="decimal"/>
      <w:isLgl/>
      <w:lvlText w:val="%1.%2.%3."/>
      <w:lvlJc w:val="left"/>
      <w:pPr>
        <w:ind w:left="2410" w:hanging="1275"/>
      </w:pPr>
      <w:rPr>
        <w:rFonts w:hint="default"/>
      </w:rPr>
    </w:lvl>
    <w:lvl w:ilvl="3">
      <w:start w:val="1"/>
      <w:numFmt w:val="decimal"/>
      <w:isLgl/>
      <w:lvlText w:val="%1.%2.%3.%4."/>
      <w:lvlJc w:val="left"/>
      <w:pPr>
        <w:ind w:left="3399" w:hanging="1275"/>
      </w:pPr>
      <w:rPr>
        <w:rFonts w:hint="default"/>
      </w:rPr>
    </w:lvl>
    <w:lvl w:ilvl="4">
      <w:start w:val="1"/>
      <w:numFmt w:val="decimal"/>
      <w:isLgl/>
      <w:lvlText w:val="%1.%2.%3.%4.%5."/>
      <w:lvlJc w:val="left"/>
      <w:pPr>
        <w:ind w:left="4107" w:hanging="1275"/>
      </w:pPr>
      <w:rPr>
        <w:rFonts w:hint="default"/>
      </w:rPr>
    </w:lvl>
    <w:lvl w:ilvl="5">
      <w:start w:val="1"/>
      <w:numFmt w:val="decimal"/>
      <w:isLgl/>
      <w:lvlText w:val="%1.%2.%3.%4.%5.%6."/>
      <w:lvlJc w:val="left"/>
      <w:pPr>
        <w:ind w:left="4980" w:hanging="1440"/>
      </w:pPr>
      <w:rPr>
        <w:rFonts w:hint="default"/>
      </w:rPr>
    </w:lvl>
    <w:lvl w:ilvl="6">
      <w:start w:val="1"/>
      <w:numFmt w:val="decimal"/>
      <w:isLgl/>
      <w:lvlText w:val="%1.%2.%3.%4.%5.%6.%7."/>
      <w:lvlJc w:val="left"/>
      <w:pPr>
        <w:ind w:left="6048" w:hanging="1800"/>
      </w:pPr>
      <w:rPr>
        <w:rFonts w:hint="default"/>
      </w:rPr>
    </w:lvl>
    <w:lvl w:ilvl="7">
      <w:start w:val="1"/>
      <w:numFmt w:val="decimal"/>
      <w:isLgl/>
      <w:lvlText w:val="%1.%2.%3.%4.%5.%6.%7.%8."/>
      <w:lvlJc w:val="left"/>
      <w:pPr>
        <w:ind w:left="6756" w:hanging="1800"/>
      </w:pPr>
      <w:rPr>
        <w:rFonts w:hint="default"/>
      </w:rPr>
    </w:lvl>
    <w:lvl w:ilvl="8">
      <w:start w:val="1"/>
      <w:numFmt w:val="decimal"/>
      <w:isLgl/>
      <w:lvlText w:val="%1.%2.%3.%4.%5.%6.%7.%8.%9."/>
      <w:lvlJc w:val="left"/>
      <w:pPr>
        <w:ind w:left="7824" w:hanging="2160"/>
      </w:pPr>
      <w:rPr>
        <w:rFonts w:hint="default"/>
      </w:rPr>
    </w:lvl>
  </w:abstractNum>
  <w:abstractNum w:abstractNumId="1" w15:restartNumberingAfterBreak="0">
    <w:nsid w:val="6AA623EE"/>
    <w:multiLevelType w:val="hybridMultilevel"/>
    <w:tmpl w:val="B6B838E6"/>
    <w:lvl w:ilvl="0" w:tplc="F8E2B5EE">
      <w:start w:val="2019"/>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A4B"/>
    <w:rsid w:val="00025344"/>
    <w:rsid w:val="00025F63"/>
    <w:rsid w:val="00036E5A"/>
    <w:rsid w:val="00066861"/>
    <w:rsid w:val="000856B3"/>
    <w:rsid w:val="000A5741"/>
    <w:rsid w:val="000C0F4B"/>
    <w:rsid w:val="000C20C7"/>
    <w:rsid w:val="000D0BE0"/>
    <w:rsid w:val="000E490E"/>
    <w:rsid w:val="00103DD7"/>
    <w:rsid w:val="001058DF"/>
    <w:rsid w:val="00111A29"/>
    <w:rsid w:val="00140BE1"/>
    <w:rsid w:val="00162670"/>
    <w:rsid w:val="001662BE"/>
    <w:rsid w:val="00172A27"/>
    <w:rsid w:val="001762D9"/>
    <w:rsid w:val="00187F16"/>
    <w:rsid w:val="00191761"/>
    <w:rsid w:val="001919C8"/>
    <w:rsid w:val="00191D1C"/>
    <w:rsid w:val="001967F7"/>
    <w:rsid w:val="001A748A"/>
    <w:rsid w:val="001B1328"/>
    <w:rsid w:val="001B621C"/>
    <w:rsid w:val="001F4A82"/>
    <w:rsid w:val="00212E89"/>
    <w:rsid w:val="00217913"/>
    <w:rsid w:val="0023155C"/>
    <w:rsid w:val="0023728F"/>
    <w:rsid w:val="00251473"/>
    <w:rsid w:val="00262AA1"/>
    <w:rsid w:val="00263753"/>
    <w:rsid w:val="002728B5"/>
    <w:rsid w:val="0028344E"/>
    <w:rsid w:val="002A59A7"/>
    <w:rsid w:val="002A63F2"/>
    <w:rsid w:val="002B74C3"/>
    <w:rsid w:val="002C33DA"/>
    <w:rsid w:val="002C506D"/>
    <w:rsid w:val="00315485"/>
    <w:rsid w:val="00316F81"/>
    <w:rsid w:val="0033775E"/>
    <w:rsid w:val="00345901"/>
    <w:rsid w:val="0038276C"/>
    <w:rsid w:val="003A45A2"/>
    <w:rsid w:val="003B4572"/>
    <w:rsid w:val="003B5D4B"/>
    <w:rsid w:val="003C5792"/>
    <w:rsid w:val="003E127D"/>
    <w:rsid w:val="0040020E"/>
    <w:rsid w:val="00422F1B"/>
    <w:rsid w:val="00462405"/>
    <w:rsid w:val="00467D0A"/>
    <w:rsid w:val="0047582A"/>
    <w:rsid w:val="00481482"/>
    <w:rsid w:val="00485F8A"/>
    <w:rsid w:val="00486C6D"/>
    <w:rsid w:val="00494C3E"/>
    <w:rsid w:val="0049528D"/>
    <w:rsid w:val="004A524D"/>
    <w:rsid w:val="004E3D2A"/>
    <w:rsid w:val="004E6340"/>
    <w:rsid w:val="004F08DF"/>
    <w:rsid w:val="005039C8"/>
    <w:rsid w:val="00535656"/>
    <w:rsid w:val="005A0E74"/>
    <w:rsid w:val="005A4869"/>
    <w:rsid w:val="005B17FD"/>
    <w:rsid w:val="005F0AF4"/>
    <w:rsid w:val="00616718"/>
    <w:rsid w:val="006225B3"/>
    <w:rsid w:val="006449FD"/>
    <w:rsid w:val="0066114A"/>
    <w:rsid w:val="00671B5A"/>
    <w:rsid w:val="006A7639"/>
    <w:rsid w:val="006A7FAD"/>
    <w:rsid w:val="006D4727"/>
    <w:rsid w:val="006E07F1"/>
    <w:rsid w:val="006F57EA"/>
    <w:rsid w:val="00713FB1"/>
    <w:rsid w:val="00761658"/>
    <w:rsid w:val="00795456"/>
    <w:rsid w:val="007A771C"/>
    <w:rsid w:val="007E57C0"/>
    <w:rsid w:val="008301D8"/>
    <w:rsid w:val="00844D55"/>
    <w:rsid w:val="00862343"/>
    <w:rsid w:val="0086259F"/>
    <w:rsid w:val="00865F46"/>
    <w:rsid w:val="00881315"/>
    <w:rsid w:val="0089604A"/>
    <w:rsid w:val="008B01A5"/>
    <w:rsid w:val="008E5066"/>
    <w:rsid w:val="00933370"/>
    <w:rsid w:val="00952B64"/>
    <w:rsid w:val="009564B0"/>
    <w:rsid w:val="00971E2A"/>
    <w:rsid w:val="009A2424"/>
    <w:rsid w:val="009B224B"/>
    <w:rsid w:val="009C2636"/>
    <w:rsid w:val="009D0BCE"/>
    <w:rsid w:val="009F5049"/>
    <w:rsid w:val="009F7AEB"/>
    <w:rsid w:val="00A00259"/>
    <w:rsid w:val="00A04E77"/>
    <w:rsid w:val="00A232B7"/>
    <w:rsid w:val="00A25B98"/>
    <w:rsid w:val="00A30C32"/>
    <w:rsid w:val="00A61BDD"/>
    <w:rsid w:val="00A81BD6"/>
    <w:rsid w:val="00AA6D8A"/>
    <w:rsid w:val="00AD5D5A"/>
    <w:rsid w:val="00AF1BCE"/>
    <w:rsid w:val="00AF2590"/>
    <w:rsid w:val="00B1049E"/>
    <w:rsid w:val="00B25B5A"/>
    <w:rsid w:val="00B26813"/>
    <w:rsid w:val="00B61A7E"/>
    <w:rsid w:val="00BA43CC"/>
    <w:rsid w:val="00BD6B31"/>
    <w:rsid w:val="00BF4A05"/>
    <w:rsid w:val="00C01B00"/>
    <w:rsid w:val="00C03EF4"/>
    <w:rsid w:val="00C41148"/>
    <w:rsid w:val="00C47B1F"/>
    <w:rsid w:val="00C52156"/>
    <w:rsid w:val="00C76F9A"/>
    <w:rsid w:val="00C81A17"/>
    <w:rsid w:val="00C83A7A"/>
    <w:rsid w:val="00C90D8B"/>
    <w:rsid w:val="00CA2AF2"/>
    <w:rsid w:val="00CA75A0"/>
    <w:rsid w:val="00D02DC5"/>
    <w:rsid w:val="00D16D06"/>
    <w:rsid w:val="00D22824"/>
    <w:rsid w:val="00D22D2F"/>
    <w:rsid w:val="00D55BF1"/>
    <w:rsid w:val="00D67231"/>
    <w:rsid w:val="00D772A1"/>
    <w:rsid w:val="00DB4EC3"/>
    <w:rsid w:val="00DD5D2F"/>
    <w:rsid w:val="00DE1680"/>
    <w:rsid w:val="00E17B7A"/>
    <w:rsid w:val="00E21540"/>
    <w:rsid w:val="00E447EA"/>
    <w:rsid w:val="00E52811"/>
    <w:rsid w:val="00E6001D"/>
    <w:rsid w:val="00E63835"/>
    <w:rsid w:val="00E77CC7"/>
    <w:rsid w:val="00E82D37"/>
    <w:rsid w:val="00E84F57"/>
    <w:rsid w:val="00E92903"/>
    <w:rsid w:val="00EC08F9"/>
    <w:rsid w:val="00EC47D1"/>
    <w:rsid w:val="00EC59EB"/>
    <w:rsid w:val="00ED77A0"/>
    <w:rsid w:val="00F03E7E"/>
    <w:rsid w:val="00F47516"/>
    <w:rsid w:val="00F81233"/>
    <w:rsid w:val="00F8763E"/>
    <w:rsid w:val="00F94251"/>
    <w:rsid w:val="00F97F16"/>
    <w:rsid w:val="00FB3E1F"/>
    <w:rsid w:val="00FC74A3"/>
    <w:rsid w:val="00FD484E"/>
    <w:rsid w:val="00FE7A74"/>
    <w:rsid w:val="00FF0B4C"/>
    <w:rsid w:val="00FF3D4E"/>
    <w:rsid w:val="04EB5B6B"/>
    <w:rsid w:val="176C6369"/>
    <w:rsid w:val="25F04B5A"/>
    <w:rsid w:val="330F220D"/>
    <w:rsid w:val="37B20251"/>
    <w:rsid w:val="3EA8175B"/>
    <w:rsid w:val="468E382A"/>
    <w:rsid w:val="49732653"/>
    <w:rsid w:val="5D266291"/>
    <w:rsid w:val="799A6275"/>
    <w:rsid w:val="7BCE6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539CC-B00D-46B6-A5FE-F8AF8B36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olor w:val="000000"/>
      <w:sz w:val="24"/>
    </w:rPr>
  </w:style>
  <w:style w:type="paragraph" w:styleId="1">
    <w:name w:val="heading 1"/>
    <w:next w:val="a"/>
    <w:uiPriority w:val="9"/>
    <w:qFormat/>
    <w:pPr>
      <w:spacing w:before="120" w:after="120"/>
      <w:outlineLvl w:val="0"/>
    </w:pPr>
    <w:rPr>
      <w:rFonts w:ascii="XO Thames" w:hAnsi="XO Thames"/>
      <w:b/>
      <w:color w:val="000000"/>
      <w:sz w:val="32"/>
    </w:rPr>
  </w:style>
  <w:style w:type="paragraph" w:styleId="2">
    <w:name w:val="heading 2"/>
    <w:next w:val="a"/>
    <w:uiPriority w:val="9"/>
    <w:qFormat/>
    <w:pPr>
      <w:spacing w:before="120" w:after="120"/>
      <w:outlineLvl w:val="1"/>
    </w:pPr>
    <w:rPr>
      <w:rFonts w:ascii="XO Thames" w:hAnsi="XO Thames"/>
      <w:b/>
      <w:color w:val="00A0FF"/>
      <w:sz w:val="26"/>
    </w:rPr>
  </w:style>
  <w:style w:type="paragraph" w:styleId="3">
    <w:name w:val="heading 3"/>
    <w:next w:val="a"/>
    <w:uiPriority w:val="9"/>
    <w:qFormat/>
    <w:pPr>
      <w:outlineLvl w:val="2"/>
    </w:pPr>
    <w:rPr>
      <w:rFonts w:ascii="XO Thames" w:hAnsi="XO Thames"/>
      <w:b/>
      <w:i/>
      <w:color w:val="000000"/>
      <w:sz w:val="22"/>
    </w:rPr>
  </w:style>
  <w:style w:type="paragraph" w:styleId="4">
    <w:name w:val="heading 4"/>
    <w:next w:val="a"/>
    <w:uiPriority w:val="9"/>
    <w:qFormat/>
    <w:pPr>
      <w:spacing w:before="120" w:after="120"/>
      <w:outlineLvl w:val="3"/>
    </w:pPr>
    <w:rPr>
      <w:rFonts w:ascii="XO Thames" w:hAnsi="XO Thames"/>
      <w:b/>
      <w:color w:val="595959"/>
      <w:sz w:val="26"/>
    </w:rPr>
  </w:style>
  <w:style w:type="paragraph" w:styleId="5">
    <w:name w:val="heading 5"/>
    <w:next w:val="a"/>
    <w:uiPriority w:val="9"/>
    <w:qFormat/>
    <w:pPr>
      <w:spacing w:before="120" w:after="120"/>
      <w:outlineLvl w:val="4"/>
    </w:pPr>
    <w:rPr>
      <w:rFonts w:ascii="XO Thames" w:hAnsi="XO Thames"/>
      <w:b/>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Tahoma" w:hAnsi="Tahoma"/>
      <w:sz w:val="16"/>
    </w:rPr>
  </w:style>
  <w:style w:type="paragraph" w:styleId="8">
    <w:name w:val="toc 8"/>
    <w:next w:val="a"/>
    <w:uiPriority w:val="39"/>
    <w:qFormat/>
    <w:pPr>
      <w:ind w:left="1400"/>
    </w:pPr>
    <w:rPr>
      <w:color w:val="000000"/>
      <w:sz w:val="22"/>
    </w:rPr>
  </w:style>
  <w:style w:type="paragraph" w:styleId="a4">
    <w:name w:val="header"/>
    <w:basedOn w:val="a"/>
    <w:qFormat/>
    <w:pPr>
      <w:tabs>
        <w:tab w:val="center" w:pos="4677"/>
        <w:tab w:val="right" w:pos="9355"/>
      </w:tabs>
    </w:pPr>
  </w:style>
  <w:style w:type="paragraph" w:styleId="9">
    <w:name w:val="toc 9"/>
    <w:next w:val="a"/>
    <w:uiPriority w:val="39"/>
    <w:pPr>
      <w:ind w:left="1600"/>
    </w:pPr>
    <w:rPr>
      <w:color w:val="000000"/>
      <w:sz w:val="22"/>
    </w:rPr>
  </w:style>
  <w:style w:type="paragraph" w:styleId="7">
    <w:name w:val="toc 7"/>
    <w:next w:val="a"/>
    <w:uiPriority w:val="39"/>
    <w:qFormat/>
    <w:pPr>
      <w:ind w:left="1200"/>
    </w:pPr>
    <w:rPr>
      <w:color w:val="000000"/>
      <w:sz w:val="22"/>
    </w:rPr>
  </w:style>
  <w:style w:type="paragraph" w:styleId="a5">
    <w:name w:val="Body Text"/>
    <w:basedOn w:val="a"/>
    <w:qFormat/>
    <w:rPr>
      <w:i/>
      <w:sz w:val="20"/>
    </w:rPr>
  </w:style>
  <w:style w:type="paragraph" w:styleId="10">
    <w:name w:val="toc 1"/>
    <w:next w:val="a"/>
    <w:uiPriority w:val="39"/>
    <w:qFormat/>
    <w:rPr>
      <w:rFonts w:ascii="XO Thames" w:hAnsi="XO Thames"/>
      <w:b/>
      <w:color w:val="000000"/>
      <w:sz w:val="22"/>
    </w:rPr>
  </w:style>
  <w:style w:type="paragraph" w:styleId="6">
    <w:name w:val="toc 6"/>
    <w:next w:val="a"/>
    <w:uiPriority w:val="39"/>
    <w:qFormat/>
    <w:pPr>
      <w:ind w:left="1000"/>
    </w:pPr>
    <w:rPr>
      <w:color w:val="000000"/>
      <w:sz w:val="22"/>
    </w:rPr>
  </w:style>
  <w:style w:type="paragraph" w:styleId="30">
    <w:name w:val="toc 3"/>
    <w:next w:val="a"/>
    <w:uiPriority w:val="39"/>
    <w:pPr>
      <w:ind w:left="400"/>
    </w:pPr>
    <w:rPr>
      <w:color w:val="000000"/>
      <w:sz w:val="22"/>
    </w:rPr>
  </w:style>
  <w:style w:type="paragraph" w:styleId="20">
    <w:name w:val="toc 2"/>
    <w:next w:val="a"/>
    <w:uiPriority w:val="39"/>
    <w:qFormat/>
    <w:pPr>
      <w:ind w:left="200"/>
    </w:pPr>
    <w:rPr>
      <w:color w:val="000000"/>
      <w:sz w:val="22"/>
    </w:rPr>
  </w:style>
  <w:style w:type="paragraph" w:styleId="40">
    <w:name w:val="toc 4"/>
    <w:next w:val="a"/>
    <w:uiPriority w:val="39"/>
    <w:qFormat/>
    <w:pPr>
      <w:ind w:left="600"/>
    </w:pPr>
    <w:rPr>
      <w:color w:val="000000"/>
      <w:sz w:val="22"/>
    </w:rPr>
  </w:style>
  <w:style w:type="paragraph" w:styleId="50">
    <w:name w:val="toc 5"/>
    <w:next w:val="a"/>
    <w:uiPriority w:val="39"/>
    <w:qFormat/>
    <w:pPr>
      <w:ind w:left="800"/>
    </w:pPr>
    <w:rPr>
      <w:color w:val="000000"/>
      <w:sz w:val="22"/>
    </w:rPr>
  </w:style>
  <w:style w:type="paragraph" w:styleId="a6">
    <w:name w:val="Title"/>
    <w:uiPriority w:val="10"/>
    <w:qFormat/>
    <w:rPr>
      <w:rFonts w:ascii="XO Thames" w:hAnsi="XO Thames"/>
      <w:b/>
      <w:color w:val="000000"/>
      <w:sz w:val="52"/>
    </w:rPr>
  </w:style>
  <w:style w:type="paragraph" w:styleId="a7">
    <w:name w:val="footer"/>
    <w:basedOn w:val="a"/>
    <w:pPr>
      <w:tabs>
        <w:tab w:val="center" w:pos="4677"/>
        <w:tab w:val="right" w:pos="9355"/>
      </w:tabs>
    </w:pPr>
  </w:style>
  <w:style w:type="paragraph" w:styleId="a8">
    <w:name w:val="Subtitle"/>
    <w:uiPriority w:val="11"/>
    <w:qFormat/>
    <w:rPr>
      <w:rFonts w:ascii="XO Thames" w:hAnsi="XO Thames"/>
      <w:i/>
      <w:color w:val="616161"/>
      <w:sz w:val="24"/>
    </w:rPr>
  </w:style>
  <w:style w:type="character" w:styleId="a9">
    <w:name w:val="Hyperlink"/>
    <w:qFormat/>
    <w:rPr>
      <w:color w:val="0000FF"/>
      <w:u w:val="single"/>
    </w:rPr>
  </w:style>
  <w:style w:type="paragraph" w:styleId="aa">
    <w:name w:val="List Paragraph"/>
    <w:basedOn w:val="a"/>
    <w:qFormat/>
    <w:pPr>
      <w:ind w:left="720"/>
      <w:contextualSpacing/>
    </w:pPr>
  </w:style>
  <w:style w:type="paragraph" w:customStyle="1" w:styleId="ConsPlusNonformat">
    <w:name w:val="ConsPlusNonformat"/>
    <w:link w:val="ConsPlusNonformat1"/>
    <w:qFormat/>
    <w:pPr>
      <w:widowControl w:val="0"/>
      <w:spacing w:after="0" w:line="240" w:lineRule="auto"/>
    </w:pPr>
    <w:rPr>
      <w:rFonts w:ascii="Courier New" w:hAnsi="Courier New"/>
      <w:color w:val="000000"/>
    </w:rPr>
  </w:style>
  <w:style w:type="character" w:customStyle="1" w:styleId="ConsPlusNonformat1">
    <w:name w:val="ConsPlusNonformat1"/>
    <w:link w:val="ConsPlusNonformat"/>
    <w:qFormat/>
    <w:rPr>
      <w:rFonts w:ascii="Courier New" w:hAnsi="Courier New"/>
      <w:sz w:val="20"/>
    </w:rPr>
  </w:style>
  <w:style w:type="paragraph" w:customStyle="1" w:styleId="apple-style-span">
    <w:name w:val="apple-style-span"/>
    <w:link w:val="apple-style-span1"/>
    <w:qFormat/>
    <w:rPr>
      <w:color w:val="000000"/>
      <w:sz w:val="22"/>
    </w:rPr>
  </w:style>
  <w:style w:type="character" w:customStyle="1" w:styleId="apple-style-span1">
    <w:name w:val="apple-style-span1"/>
    <w:basedOn w:val="a0"/>
    <w:link w:val="apple-style-span"/>
    <w:qFormat/>
  </w:style>
  <w:style w:type="paragraph" w:customStyle="1" w:styleId="s10">
    <w:name w:val="s_10"/>
    <w:link w:val="s101"/>
    <w:rPr>
      <w:color w:val="000000"/>
      <w:sz w:val="22"/>
    </w:rPr>
  </w:style>
  <w:style w:type="character" w:customStyle="1" w:styleId="s101">
    <w:name w:val="s_101"/>
    <w:basedOn w:val="a0"/>
    <w:link w:val="s10"/>
    <w:qFormat/>
  </w:style>
  <w:style w:type="paragraph" w:customStyle="1" w:styleId="Footnote">
    <w:name w:val="Footnote"/>
    <w:link w:val="Footnote1"/>
    <w:qFormat/>
    <w:rPr>
      <w:rFonts w:ascii="XO Thames" w:hAnsi="XO Thames"/>
      <w:color w:val="757575"/>
    </w:rPr>
  </w:style>
  <w:style w:type="character" w:customStyle="1" w:styleId="Footnote1">
    <w:name w:val="Footnote1"/>
    <w:link w:val="Footnote"/>
    <w:rPr>
      <w:rFonts w:ascii="XO Thames" w:hAnsi="XO Thames"/>
      <w:color w:val="757575"/>
      <w:sz w:val="20"/>
    </w:rPr>
  </w:style>
  <w:style w:type="paragraph" w:customStyle="1" w:styleId="HeaderandFooter">
    <w:name w:val="Header and Footer"/>
    <w:link w:val="HeaderandFooter1"/>
    <w:pPr>
      <w:spacing w:line="360" w:lineRule="auto"/>
    </w:pPr>
    <w:rPr>
      <w:rFonts w:ascii="XO Thames" w:hAnsi="XO Thames"/>
      <w:color w:val="000000"/>
    </w:rPr>
  </w:style>
  <w:style w:type="character" w:customStyle="1" w:styleId="HeaderandFooter1">
    <w:name w:val="Header and Footer1"/>
    <w:link w:val="HeaderandFooter"/>
    <w:qFormat/>
    <w:rPr>
      <w:rFonts w:ascii="XO Thames" w:hAnsi="XO Thames"/>
      <w:sz w:val="20"/>
    </w:rPr>
  </w:style>
  <w:style w:type="paragraph" w:customStyle="1" w:styleId="toc10">
    <w:name w:val="toc 10"/>
    <w:link w:val="toc101"/>
    <w:uiPriority w:val="39"/>
    <w:qFormat/>
    <w:pPr>
      <w:ind w:left="1800"/>
    </w:pPr>
    <w:rPr>
      <w:color w:val="000000"/>
      <w:sz w:val="22"/>
    </w:rPr>
  </w:style>
  <w:style w:type="character" w:customStyle="1" w:styleId="toc101">
    <w:name w:val="toc 101"/>
    <w:link w:val="toc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 TargetMode="External"/><Relationship Id="rId5" Type="http://schemas.openxmlformats.org/officeDocument/2006/relationships/settings" Target="settings.xml"/><Relationship Id="rId10" Type="http://schemas.openxmlformats.org/officeDocument/2006/relationships/hyperlink" Target="mailto:sp-ugansk@mail.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086E41-8626-4147-9552-6A62B1E0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4</Pages>
  <Words>1484</Words>
  <Characters>8463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2020-02-17T11:24:00Z</cp:lastPrinted>
  <dcterms:created xsi:type="dcterms:W3CDTF">2019-12-02T12:59:00Z</dcterms:created>
  <dcterms:modified xsi:type="dcterms:W3CDTF">2020-02-17T11:46:00Z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1049-10.2.0.7625</vt:lpwstr>
  </property>
</Properties>
</file>