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4E9A" w:rsidRPr="00804049" w:rsidRDefault="00D7050D" w:rsidP="00804049">
      <w:pPr>
        <w:pStyle w:val="23"/>
        <w:shd w:val="clear" w:color="auto" w:fill="auto"/>
        <w:spacing w:line="466" w:lineRule="exact"/>
        <w:ind w:left="360" w:hanging="360"/>
        <w:jc w:val="center"/>
      </w:pPr>
      <w:r>
        <w:t>Информационная памятка участникам долевого строительства</w:t>
      </w:r>
      <w:bookmarkStart w:id="0" w:name="_GoBack"/>
      <w:bookmarkEnd w:id="0"/>
    </w:p>
    <w:p w:rsidR="00DF4E9A" w:rsidRPr="00804049" w:rsidRDefault="00A53A24" w:rsidP="00804049">
      <w:pPr>
        <w:pStyle w:val="23"/>
        <w:shd w:val="clear" w:color="auto" w:fill="auto"/>
        <w:tabs>
          <w:tab w:val="left" w:pos="9158"/>
        </w:tabs>
        <w:spacing w:line="466" w:lineRule="exact"/>
        <w:ind w:firstLine="709"/>
        <w:jc w:val="both"/>
      </w:pPr>
      <w:r w:rsidRPr="00804049">
        <w:t>1 июля 2019 года начался заключительный этап</w:t>
      </w:r>
      <w:r w:rsidR="00804049" w:rsidRPr="00804049">
        <w:t xml:space="preserve"> реформы долевого строительства-</w:t>
      </w:r>
      <w:r w:rsidRPr="00804049">
        <w:t>застройщики перешли на</w:t>
      </w:r>
      <w:r w:rsidR="00804049" w:rsidRPr="00804049">
        <w:t xml:space="preserve"> </w:t>
      </w:r>
      <w:r w:rsidRPr="00804049">
        <w:t>работу</w:t>
      </w:r>
      <w:r w:rsidR="00804049" w:rsidRPr="00804049">
        <w:t xml:space="preserve"> </w:t>
      </w:r>
      <w:r w:rsidRPr="00804049">
        <w:t>по счетам эскроу, как требует законодательство об участии в долевом строительстве</w:t>
      </w:r>
      <w:r w:rsidR="00804049" w:rsidRPr="00804049">
        <w:t xml:space="preserve"> </w:t>
      </w:r>
      <w:r w:rsidRPr="00804049">
        <w:t xml:space="preserve">многоквартирных домов. Девелоперы не смогут строить жилье </w:t>
      </w:r>
      <w:r w:rsidR="00804049" w:rsidRPr="00804049">
        <w:t>на деньги дольщиков, а будут кр</w:t>
      </w:r>
      <w:r w:rsidRPr="00804049">
        <w:t>едитоваться в банках</w:t>
      </w:r>
      <w:r w:rsidR="00804049">
        <w:t xml:space="preserve"> или вкладывать свои средства.</w:t>
      </w:r>
    </w:p>
    <w:p w:rsidR="00DF4E9A" w:rsidRPr="00804049" w:rsidRDefault="00A53A24" w:rsidP="00804049">
      <w:pPr>
        <w:pStyle w:val="23"/>
        <w:shd w:val="clear" w:color="auto" w:fill="auto"/>
        <w:spacing w:line="466" w:lineRule="exact"/>
        <w:ind w:firstLine="708"/>
        <w:jc w:val="both"/>
      </w:pPr>
      <w:r w:rsidRPr="00804049">
        <w:t>Счет эскроу - банковский счет, на котором деньги компании или физического лица блокируются до наступления определенных условий. В случае с долевым строительством деньги на счет вносит покупатель, а застройщик получает их только после сдачи объекта в эксплуатацию. Б</w:t>
      </w:r>
      <w:r w:rsidR="00804049" w:rsidRPr="00804049">
        <w:t>анк выступает как эскроу-агент -</w:t>
      </w:r>
      <w:r w:rsidRPr="00804049">
        <w:t xml:space="preserve"> независимое третье лицо, которое не имеет своего интереса в сделке.</w:t>
      </w:r>
    </w:p>
    <w:p w:rsidR="00DF4E9A" w:rsidRPr="00804049" w:rsidRDefault="00A53A24" w:rsidP="00804049">
      <w:pPr>
        <w:pStyle w:val="23"/>
        <w:shd w:val="clear" w:color="auto" w:fill="auto"/>
        <w:spacing w:line="466" w:lineRule="exact"/>
        <w:ind w:firstLine="360"/>
        <w:jc w:val="both"/>
      </w:pPr>
      <w:r w:rsidRPr="00804049">
        <w:t>Привлечение средств дольщиков возможно только по двум схемам:</w:t>
      </w:r>
    </w:p>
    <w:p w:rsidR="00DF4E9A" w:rsidRPr="00804049" w:rsidRDefault="00A53A24" w:rsidP="00804049">
      <w:pPr>
        <w:pStyle w:val="23"/>
        <w:numPr>
          <w:ilvl w:val="0"/>
          <w:numId w:val="1"/>
        </w:numPr>
        <w:shd w:val="clear" w:color="auto" w:fill="auto"/>
        <w:tabs>
          <w:tab w:val="left" w:pos="1406"/>
        </w:tabs>
        <w:spacing w:line="466" w:lineRule="exact"/>
        <w:ind w:firstLine="567"/>
        <w:jc w:val="both"/>
      </w:pPr>
      <w:r w:rsidRPr="00804049">
        <w:t>Застройщик привлекает на основании договора участия в долевом строительстве (далее— Договор).</w:t>
      </w:r>
    </w:p>
    <w:p w:rsidR="00DF4E9A" w:rsidRPr="00804049" w:rsidRDefault="00A53A24" w:rsidP="00804049">
      <w:pPr>
        <w:pStyle w:val="23"/>
        <w:numPr>
          <w:ilvl w:val="0"/>
          <w:numId w:val="1"/>
        </w:numPr>
        <w:shd w:val="clear" w:color="auto" w:fill="auto"/>
        <w:tabs>
          <w:tab w:val="left" w:pos="1406"/>
          <w:tab w:val="left" w:pos="7654"/>
        </w:tabs>
        <w:spacing w:line="466" w:lineRule="exact"/>
        <w:ind w:firstLine="567"/>
        <w:jc w:val="both"/>
      </w:pPr>
      <w:r w:rsidRPr="00804049">
        <w:t>Жи</w:t>
      </w:r>
      <w:r w:rsidR="00804049">
        <w:t xml:space="preserve">лищно-строительные кооперативы, </w:t>
      </w:r>
      <w:r w:rsidRPr="00804049">
        <w:t>осуществляющие</w:t>
      </w:r>
      <w:r w:rsidR="00804049">
        <w:t xml:space="preserve"> </w:t>
      </w:r>
      <w:r w:rsidRPr="00804049">
        <w:t>строительство на земельных участках, предоставленных им в безвозмездное срочное пользование из муниципальной собственности или государственной собственности, в том числе в соответствии с Федеральным законом№161-ФЗ.</w:t>
      </w:r>
    </w:p>
    <w:p w:rsidR="00DF4E9A" w:rsidRPr="00804049" w:rsidRDefault="00804049" w:rsidP="00804049">
      <w:pPr>
        <w:pStyle w:val="23"/>
        <w:shd w:val="clear" w:color="auto" w:fill="auto"/>
        <w:spacing w:line="466" w:lineRule="exact"/>
        <w:ind w:firstLine="567"/>
        <w:jc w:val="both"/>
      </w:pPr>
      <w:r w:rsidRPr="00804049">
        <w:t>В настоящее время пр</w:t>
      </w:r>
      <w:r w:rsidR="00A53A24" w:rsidRPr="00804049">
        <w:t>ивлечение</w:t>
      </w:r>
      <w:r w:rsidRPr="00804049">
        <w:t xml:space="preserve"> средств гр</w:t>
      </w:r>
      <w:r w:rsidR="00A53A24" w:rsidRPr="00804049">
        <w:t xml:space="preserve">аждан на строительство жилых и не жилых помещений осуществляется только </w:t>
      </w:r>
      <w:r w:rsidRPr="00804049">
        <w:t>с применением счетов эскроу, за</w:t>
      </w:r>
      <w:r w:rsidR="00A53A24" w:rsidRPr="00804049">
        <w:t xml:space="preserve"> исключением объектов по которым застройщиком получено заключения Жилстройнадзора</w:t>
      </w:r>
      <w:r w:rsidRPr="00804049">
        <w:t xml:space="preserve"> </w:t>
      </w:r>
      <w:r w:rsidR="00A53A24" w:rsidRPr="00804049">
        <w:t>Югры о степени готовности объекта.</w:t>
      </w:r>
    </w:p>
    <w:p w:rsidR="00DF4E9A" w:rsidRPr="00804049" w:rsidRDefault="00A53A24" w:rsidP="00804049">
      <w:pPr>
        <w:pStyle w:val="23"/>
        <w:shd w:val="clear" w:color="auto" w:fill="auto"/>
        <w:spacing w:line="466" w:lineRule="exact"/>
        <w:ind w:firstLine="360"/>
        <w:jc w:val="both"/>
      </w:pPr>
      <w:r w:rsidRPr="00804049">
        <w:t>В случае если Вы решили приобрести жилое или не жилое помещение в строящемся объекте рекомендуем Вам</w:t>
      </w:r>
      <w:r w:rsidR="00804049" w:rsidRPr="00804049">
        <w:t xml:space="preserve"> </w:t>
      </w:r>
      <w:r w:rsidRPr="00804049">
        <w:t>ознакомиться с проектной декларацией размещенной застройщиком в единой информационной системе жилищного строительства (ЕИСЖС) на сайте наш.дом.рф. В проектной декларации указан</w:t>
      </w:r>
      <w:r w:rsidR="00804049" w:rsidRPr="00804049">
        <w:t xml:space="preserve"> способ привлечения денежных средств уча</w:t>
      </w:r>
      <w:r w:rsidR="00804049">
        <w:t>стников долевого строительства -</w:t>
      </w:r>
      <w:r w:rsidR="00804049" w:rsidRPr="00804049">
        <w:t xml:space="preserve"> это счета эскроу или спец счет, откр</w:t>
      </w:r>
      <w:r w:rsidRPr="00804049">
        <w:t>ытый застройщиком в уполномоченном банке.</w:t>
      </w:r>
    </w:p>
    <w:p w:rsidR="00DF4E9A" w:rsidRPr="00804049" w:rsidRDefault="00A53A24" w:rsidP="00804049">
      <w:pPr>
        <w:pStyle w:val="23"/>
        <w:shd w:val="clear" w:color="auto" w:fill="auto"/>
        <w:spacing w:line="466" w:lineRule="exact"/>
        <w:ind w:firstLine="360"/>
        <w:jc w:val="both"/>
      </w:pPr>
      <w:r w:rsidRPr="00804049">
        <w:t>В случае если застройщик привлекает средства по «старой схеме», с</w:t>
      </w:r>
      <w:r w:rsidR="00804049" w:rsidRPr="00804049">
        <w:t xml:space="preserve"> </w:t>
      </w:r>
      <w:r w:rsidRPr="00804049">
        <w:t>использованием спец счета, проверить выдавалось ли такому</w:t>
      </w:r>
      <w:r w:rsidR="00804049" w:rsidRPr="00804049">
        <w:t xml:space="preserve"> </w:t>
      </w:r>
      <w:r w:rsidRPr="00804049">
        <w:t>застройщику соответствующее заключение возможно на сайте Жилстройнадзора Югры.</w:t>
      </w:r>
    </w:p>
    <w:p w:rsidR="00DF4E9A" w:rsidRPr="00726E78" w:rsidRDefault="00804049" w:rsidP="00804049">
      <w:pPr>
        <w:pStyle w:val="23"/>
        <w:shd w:val="clear" w:color="auto" w:fill="auto"/>
        <w:tabs>
          <w:tab w:val="left" w:pos="4739"/>
        </w:tabs>
        <w:spacing w:line="466" w:lineRule="exact"/>
        <w:ind w:firstLine="360"/>
        <w:jc w:val="both"/>
        <w:rPr>
          <w:sz w:val="28"/>
          <w:szCs w:val="28"/>
        </w:rPr>
      </w:pPr>
      <w:r w:rsidRPr="00804049">
        <w:lastRenderedPageBreak/>
        <w:t>При, ч</w:t>
      </w:r>
      <w:r w:rsidR="00A53A24" w:rsidRPr="00804049">
        <w:t>ем реквизиты спец счета, счета указанного в проектной декларации и счета указанного в договоре участия в долевом строительстве должны быть одинаковы.</w:t>
      </w:r>
    </w:p>
    <w:p w:rsidR="00DF4E9A" w:rsidRPr="00E60173" w:rsidRDefault="00804049" w:rsidP="00804049">
      <w:pPr>
        <w:pStyle w:val="23"/>
        <w:shd w:val="clear" w:color="auto" w:fill="auto"/>
        <w:tabs>
          <w:tab w:val="left" w:pos="6285"/>
        </w:tabs>
        <w:spacing w:line="466" w:lineRule="exact"/>
        <w:ind w:firstLine="426"/>
        <w:jc w:val="both"/>
      </w:pPr>
      <w:r w:rsidRPr="00E60173">
        <w:t>В случае привлечения</w:t>
      </w:r>
      <w:r w:rsidR="00A53A24" w:rsidRPr="00E60173">
        <w:t xml:space="preserve"> средств участников долевого строите</w:t>
      </w:r>
      <w:r w:rsidR="00E60173" w:rsidRPr="00E60173">
        <w:t xml:space="preserve">льства с использованием счетов </w:t>
      </w:r>
      <w:r w:rsidR="00A53A24" w:rsidRPr="00E60173">
        <w:t>эскроу, застройщик также получает соответствующее заключение в Жилстройнадзоре Югры, которое также размещается на официальном сайте Жилстройнадзора Югры.</w:t>
      </w:r>
    </w:p>
    <w:p w:rsidR="00E60173" w:rsidRPr="00E60173" w:rsidRDefault="00A53A24" w:rsidP="00E60173">
      <w:pPr>
        <w:pStyle w:val="23"/>
        <w:shd w:val="clear" w:color="auto" w:fill="auto"/>
        <w:spacing w:line="466" w:lineRule="exact"/>
        <w:ind w:firstLine="426"/>
        <w:jc w:val="both"/>
      </w:pPr>
      <w:r w:rsidRPr="00E60173">
        <w:t>Важно то, что денежные средства вносятся участниками долевого строительства</w:t>
      </w:r>
      <w:r w:rsidR="00E60173" w:rsidRPr="00E60173">
        <w:t xml:space="preserve"> только после государственной регистрации таких договоров.</w:t>
      </w:r>
    </w:p>
    <w:p w:rsidR="00DF4E9A" w:rsidRPr="00726E78" w:rsidRDefault="00A53A24" w:rsidP="00E60173">
      <w:pPr>
        <w:pStyle w:val="23"/>
        <w:shd w:val="clear" w:color="auto" w:fill="auto"/>
        <w:spacing w:line="466" w:lineRule="exact"/>
        <w:ind w:firstLine="426"/>
        <w:jc w:val="both"/>
        <w:rPr>
          <w:sz w:val="28"/>
          <w:szCs w:val="28"/>
        </w:rPr>
      </w:pPr>
      <w:r w:rsidRPr="00726E78">
        <w:rPr>
          <w:sz w:val="28"/>
          <w:szCs w:val="28"/>
        </w:rPr>
        <w:t>ВАЖНО.</w:t>
      </w:r>
    </w:p>
    <w:p w:rsidR="00DF4E9A" w:rsidRPr="00E60173" w:rsidRDefault="00A53A24" w:rsidP="00E60173">
      <w:pPr>
        <w:pStyle w:val="23"/>
        <w:shd w:val="clear" w:color="auto" w:fill="auto"/>
        <w:spacing w:line="466" w:lineRule="exact"/>
        <w:ind w:firstLine="426"/>
        <w:jc w:val="both"/>
      </w:pPr>
      <w:r w:rsidRPr="00E60173">
        <w:t>Уступка участником долевого строительства прав требований по договору допускается только после уплаты им цены договора или одновременно с переводом долга на нового участника долевого строительства в порядке, установленном Гражданским кодексом Российской Федерации.</w:t>
      </w:r>
    </w:p>
    <w:p w:rsidR="00DF4E9A" w:rsidRPr="00E60173" w:rsidRDefault="00A53A24" w:rsidP="00E60173">
      <w:pPr>
        <w:pStyle w:val="23"/>
        <w:shd w:val="clear" w:color="auto" w:fill="auto"/>
        <w:tabs>
          <w:tab w:val="left" w:pos="7149"/>
        </w:tabs>
        <w:spacing w:line="466" w:lineRule="exact"/>
        <w:ind w:firstLine="426"/>
        <w:jc w:val="both"/>
      </w:pPr>
      <w:r w:rsidRPr="00E60173">
        <w:t xml:space="preserve">Договор уступки прав требования (цессии) </w:t>
      </w:r>
      <w:r w:rsidR="00E60173" w:rsidRPr="00E60173">
        <w:t>также,</w:t>
      </w:r>
      <w:r w:rsidRPr="00E60173">
        <w:t xml:space="preserve"> как и договор участия в долевом строительстве подлежит обязательной государственной регистрации и считается заключ</w:t>
      </w:r>
      <w:r w:rsidR="00E60173" w:rsidRPr="00E60173">
        <w:t>енным после такой регистрации.</w:t>
      </w:r>
    </w:p>
    <w:p w:rsidR="00DF4E9A" w:rsidRPr="00842321" w:rsidRDefault="00A53A24" w:rsidP="00E60173">
      <w:pPr>
        <w:pStyle w:val="23"/>
        <w:shd w:val="clear" w:color="auto" w:fill="auto"/>
        <w:spacing w:line="466" w:lineRule="exact"/>
        <w:ind w:firstLine="426"/>
        <w:jc w:val="both"/>
      </w:pPr>
      <w:r w:rsidRPr="00842321">
        <w:t>Причем лицо, уступающее</w:t>
      </w:r>
      <w:r w:rsidR="00E60173" w:rsidRPr="00842321">
        <w:t xml:space="preserve"> Вам свое право требовании</w:t>
      </w:r>
      <w:r w:rsidRPr="00842321">
        <w:t xml:space="preserve">, обязано доказать оплату такого договора предъявив </w:t>
      </w:r>
      <w:r w:rsidR="00842321" w:rsidRPr="00842321">
        <w:t>документы,</w:t>
      </w:r>
      <w:r w:rsidRPr="00842321">
        <w:t xml:space="preserve"> свидетельствующие об его оплате (платежное поручение и акт сверки).</w:t>
      </w:r>
    </w:p>
    <w:sectPr w:rsidR="00DF4E9A" w:rsidRPr="00842321">
      <w:pgSz w:w="11909" w:h="16840"/>
      <w:pgMar w:top="1386" w:right="832" w:bottom="1430" w:left="106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0C81" w:rsidRDefault="00720C81">
      <w:r>
        <w:separator/>
      </w:r>
    </w:p>
  </w:endnote>
  <w:endnote w:type="continuationSeparator" w:id="0">
    <w:p w:rsidR="00720C81" w:rsidRDefault="00720C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0C81" w:rsidRDefault="00720C81"/>
  </w:footnote>
  <w:footnote w:type="continuationSeparator" w:id="0">
    <w:p w:rsidR="00720C81" w:rsidRDefault="00720C8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1203C"/>
    <w:multiLevelType w:val="multilevel"/>
    <w:tmpl w:val="AB8CBE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E9A"/>
    <w:rsid w:val="00720C81"/>
    <w:rsid w:val="00726E78"/>
    <w:rsid w:val="00804049"/>
    <w:rsid w:val="00842321"/>
    <w:rsid w:val="00A53A24"/>
    <w:rsid w:val="00D7050D"/>
    <w:rsid w:val="00DF4E9A"/>
    <w:rsid w:val="00E60173"/>
    <w:rsid w:val="00F26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FECF5"/>
  <w15:docId w15:val="{AA4E2EDD-11F7-437B-885D-B581D8F31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Подпись к картинке_"/>
    <w:basedOn w:val="a0"/>
    <w:link w:val="a5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1"/>
      <w:szCs w:val="21"/>
      <w:u w:val="none"/>
    </w:rPr>
  </w:style>
  <w:style w:type="character" w:customStyle="1" w:styleId="PalatinoLinotype6pt0pt">
    <w:name w:val="Подпись к картинке + Palatino Linotype;6 pt;Курсив;Интервал 0 pt"/>
    <w:basedOn w:val="a4"/>
    <w:rPr>
      <w:rFonts w:ascii="Palatino Linotype" w:eastAsia="Palatino Linotype" w:hAnsi="Palatino Linotype" w:cs="Palatino Linotype"/>
      <w:b w:val="0"/>
      <w:bCs w:val="0"/>
      <w:i/>
      <w:iCs/>
      <w:smallCaps w:val="0"/>
      <w:strike w:val="0"/>
      <w:color w:val="000000"/>
      <w:spacing w:val="1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2">
    <w:name w:val="Подпись к картинке (2)_"/>
    <w:basedOn w:val="a0"/>
    <w:link w:val="20"/>
    <w:rPr>
      <w:rFonts w:ascii="Georgia" w:eastAsia="Georgia" w:hAnsi="Georgia" w:cs="Georgia"/>
      <w:b/>
      <w:bCs/>
      <w:i/>
      <w:iCs/>
      <w:smallCaps w:val="0"/>
      <w:strike w:val="0"/>
      <w:sz w:val="30"/>
      <w:szCs w:val="3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Основной текст (2)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6">
    <w:name w:val="Основной текст (6)_"/>
    <w:basedOn w:val="a0"/>
    <w:link w:val="60"/>
    <w:rPr>
      <w:rFonts w:ascii="Calibri" w:eastAsia="Calibri" w:hAnsi="Calibri" w:cs="Calibri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6FranklinGothicHeavy18pt">
    <w:name w:val="Основной текст (6) + Franklin Gothic Heavy;18 pt;Не полужирный;Курсив"/>
    <w:basedOn w:val="6"/>
    <w:rPr>
      <w:rFonts w:ascii="Franklin Gothic Heavy" w:eastAsia="Franklin Gothic Heavy" w:hAnsi="Franklin Gothic Heavy" w:cs="Franklin Gothic Heavy"/>
      <w:b/>
      <w:bCs/>
      <w:i/>
      <w:iCs/>
      <w:smallCaps w:val="0"/>
      <w:strike w:val="0"/>
      <w:color w:val="000000"/>
      <w:spacing w:val="0"/>
      <w:w w:val="100"/>
      <w:position w:val="0"/>
      <w:sz w:val="36"/>
      <w:szCs w:val="36"/>
      <w:u w:val="none"/>
      <w:lang w:val="en-US" w:eastAsia="en-US" w:bidi="en-US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7Calibri85pt">
    <w:name w:val="Основной текст (7) + Calibri;8;5 pt;Не полужирный"/>
    <w:basedOn w:val="7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single"/>
      <w:lang w:val="ru-RU" w:eastAsia="ru-RU" w:bidi="ru-RU"/>
    </w:rPr>
  </w:style>
  <w:style w:type="character" w:customStyle="1" w:styleId="71">
    <w:name w:val="Основной текст (7)"/>
    <w:basedOn w:val="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single"/>
      <w:lang w:val="ru-RU" w:eastAsia="ru-RU" w:bidi="ru-RU"/>
    </w:rPr>
  </w:style>
  <w:style w:type="character" w:customStyle="1" w:styleId="7Calibri17pt">
    <w:name w:val="Основной текст (7) + Calibri;17 pt;Курсив"/>
    <w:basedOn w:val="7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34"/>
      <w:szCs w:val="34"/>
      <w:u w:val="single"/>
      <w:lang w:val="en-US" w:eastAsia="en-US" w:bidi="en-US"/>
    </w:rPr>
  </w:style>
  <w:style w:type="character" w:customStyle="1" w:styleId="22">
    <w:name w:val="Основной текст (2)_"/>
    <w:basedOn w:val="a0"/>
    <w:link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a5">
    <w:name w:val="Подпись к картинке"/>
    <w:basedOn w:val="a"/>
    <w:link w:val="a4"/>
    <w:pPr>
      <w:shd w:val="clear" w:color="auto" w:fill="FFFFFF"/>
      <w:spacing w:line="0" w:lineRule="atLeast"/>
    </w:pPr>
    <w:rPr>
      <w:rFonts w:ascii="Calibri" w:eastAsia="Calibri" w:hAnsi="Calibri" w:cs="Calibri"/>
      <w:sz w:val="21"/>
      <w:szCs w:val="21"/>
    </w:rPr>
  </w:style>
  <w:style w:type="paragraph" w:customStyle="1" w:styleId="20">
    <w:name w:val="Подпись к картинке (2)"/>
    <w:basedOn w:val="a"/>
    <w:link w:val="2"/>
    <w:pPr>
      <w:shd w:val="clear" w:color="auto" w:fill="FFFFFF"/>
      <w:spacing w:line="0" w:lineRule="atLeast"/>
    </w:pPr>
    <w:rPr>
      <w:rFonts w:ascii="Georgia" w:eastAsia="Georgia" w:hAnsi="Georgia" w:cs="Georgia"/>
      <w:b/>
      <w:bCs/>
      <w:i/>
      <w:iCs/>
      <w:sz w:val="30"/>
      <w:szCs w:val="30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312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221" w:lineRule="exact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">
    <w:name w:val="Основной текст (2)"/>
    <w:basedOn w:val="a"/>
    <w:link w:val="22"/>
    <w:pPr>
      <w:shd w:val="clear" w:color="auto" w:fill="FFFFFF"/>
      <w:spacing w:line="355" w:lineRule="exact"/>
      <w:ind w:hanging="1080"/>
      <w:jc w:val="righ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230" w:lineRule="exact"/>
      <w:jc w:val="both"/>
    </w:pPr>
    <w:rPr>
      <w:rFonts w:ascii="Calibri" w:eastAsia="Calibri" w:hAnsi="Calibri" w:cs="Calibri"/>
      <w:b/>
      <w:bCs/>
      <w:sz w:val="19"/>
      <w:szCs w:val="19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202" w:lineRule="exact"/>
    </w:pPr>
    <w:rPr>
      <w:rFonts w:ascii="Times New Roman" w:eastAsia="Times New Roman" w:hAnsi="Times New Roman" w:cs="Times New Roman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483</Words>
  <Characters>2755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Рогозин Александр Сергеевич</dc:creator>
  <cp:lastModifiedBy>Субботин Юрий Николаевич</cp:lastModifiedBy>
  <cp:revision>4</cp:revision>
  <dcterms:created xsi:type="dcterms:W3CDTF">2020-02-26T13:40:00Z</dcterms:created>
  <dcterms:modified xsi:type="dcterms:W3CDTF">2020-02-27T12:43:00Z</dcterms:modified>
</cp:coreProperties>
</file>