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52D2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D2C3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933370" w:rsidP="00CD335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от </w:t>
            </w:r>
            <w:r w:rsidR="00D16D06">
              <w:rPr>
                <w:sz w:val="28"/>
              </w:rPr>
              <w:t>25.11</w:t>
            </w:r>
            <w:r>
              <w:rPr>
                <w:sz w:val="28"/>
              </w:rPr>
              <w:t>.2019</w:t>
            </w:r>
            <w:r w:rsidR="00CD3350">
              <w:rPr>
                <w:sz w:val="28"/>
              </w:rPr>
              <w:t xml:space="preserve"> № 470</w:t>
            </w:r>
          </w:p>
        </w:tc>
        <w:tc>
          <w:tcPr>
            <w:tcW w:w="4961" w:type="dxa"/>
          </w:tcPr>
          <w:p w:rsidR="00C47B1F" w:rsidRDefault="00C47B1F" w:rsidP="00C41148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CD3350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D3350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bookmarkEnd w:id="0"/>
    <w:p w:rsidR="00C47B1F" w:rsidRDefault="00C47B1F" w:rsidP="00CD3350">
      <w:pPr>
        <w:ind w:firstLine="709"/>
        <w:jc w:val="both"/>
        <w:rPr>
          <w:sz w:val="28"/>
        </w:rPr>
      </w:pPr>
    </w:p>
    <w:p w:rsidR="00C47B1F" w:rsidRDefault="00D55BF1" w:rsidP="00CD3350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CD3350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 w:rsidP="00CD3350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CD3350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CD335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№ </w:t>
      </w:r>
      <w:r w:rsidR="00C41148">
        <w:rPr>
          <w:sz w:val="28"/>
        </w:rPr>
        <w:t>77</w:t>
      </w:r>
      <w:r>
        <w:rPr>
          <w:sz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br/>
        <w:t xml:space="preserve">№ </w:t>
      </w:r>
      <w:r w:rsidR="00C41148">
        <w:rPr>
          <w:sz w:val="28"/>
        </w:rPr>
        <w:t>77</w:t>
      </w:r>
      <w:r>
        <w:rPr>
          <w:sz w:val="28"/>
        </w:rPr>
        <w:t>-нп);</w:t>
      </w:r>
    </w:p>
    <w:p w:rsidR="00C47B1F" w:rsidRDefault="00D55BF1" w:rsidP="00CD3350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CD3350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CD3350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CD3350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25B98" w:rsidRPr="00A25B98" w:rsidRDefault="00D55BF1" w:rsidP="00CD3350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</w:t>
      </w:r>
      <w:r w:rsidR="00263753">
        <w:rPr>
          <w:sz w:val="28"/>
        </w:rPr>
        <w:t xml:space="preserve">в целом </w:t>
      </w:r>
      <w:r>
        <w:rPr>
          <w:sz w:val="28"/>
        </w:rPr>
        <w:t xml:space="preserve">соответствует </w:t>
      </w:r>
      <w:r w:rsidR="00C41148">
        <w:rPr>
          <w:sz w:val="28"/>
        </w:rPr>
        <w:t>Порядку</w:t>
      </w:r>
      <w:r>
        <w:rPr>
          <w:sz w:val="28"/>
        </w:rPr>
        <w:t xml:space="preserve"> от </w:t>
      </w:r>
      <w:r w:rsidR="00C41148">
        <w:rPr>
          <w:sz w:val="28"/>
        </w:rPr>
        <w:t>1</w:t>
      </w:r>
      <w:r>
        <w:rPr>
          <w:sz w:val="28"/>
        </w:rPr>
        <w:t>8.</w:t>
      </w:r>
      <w:r w:rsidRPr="0023728F">
        <w:rPr>
          <w:sz w:val="28"/>
        </w:rPr>
        <w:t>0</w:t>
      </w:r>
      <w:r w:rsidR="00C41148" w:rsidRPr="0023728F">
        <w:rPr>
          <w:sz w:val="28"/>
        </w:rPr>
        <w:t>4</w:t>
      </w:r>
      <w:r w:rsidRPr="0023728F">
        <w:rPr>
          <w:sz w:val="28"/>
        </w:rPr>
        <w:t>.201</w:t>
      </w:r>
      <w:r w:rsidR="00C41148" w:rsidRPr="0023728F">
        <w:rPr>
          <w:sz w:val="28"/>
        </w:rPr>
        <w:t>9</w:t>
      </w:r>
      <w:r w:rsidRPr="0023728F">
        <w:rPr>
          <w:sz w:val="28"/>
        </w:rPr>
        <w:t xml:space="preserve"> № </w:t>
      </w:r>
      <w:r w:rsidR="00C41148" w:rsidRPr="0023728F">
        <w:rPr>
          <w:sz w:val="28"/>
        </w:rPr>
        <w:t>77</w:t>
      </w:r>
      <w:r w:rsidRPr="0023728F">
        <w:rPr>
          <w:sz w:val="28"/>
        </w:rPr>
        <w:t>-нп</w:t>
      </w:r>
      <w:r w:rsidR="00C41148" w:rsidRPr="0023728F">
        <w:rPr>
          <w:sz w:val="28"/>
        </w:rPr>
        <w:t>.</w:t>
      </w:r>
    </w:p>
    <w:p w:rsidR="00C47B1F" w:rsidRPr="0023728F" w:rsidRDefault="00D55BF1" w:rsidP="00CD3350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23728F">
        <w:rPr>
          <w:sz w:val="28"/>
        </w:rPr>
        <w:t>Проектом изменений планируется:</w:t>
      </w:r>
    </w:p>
    <w:p w:rsidR="005039C8" w:rsidRDefault="0023728F" w:rsidP="00CD3350">
      <w:pPr>
        <w:pStyle w:val="aa"/>
        <w:numPr>
          <w:ilvl w:val="1"/>
          <w:numId w:val="1"/>
        </w:numPr>
        <w:ind w:left="0" w:firstLine="709"/>
        <w:jc w:val="both"/>
        <w:rPr>
          <w:sz w:val="28"/>
        </w:rPr>
      </w:pPr>
      <w:r w:rsidRPr="0023728F">
        <w:rPr>
          <w:sz w:val="28"/>
        </w:rPr>
        <w:t>В паспорте муниципальной программы</w:t>
      </w:r>
      <w:r w:rsidR="005039C8">
        <w:rPr>
          <w:sz w:val="28"/>
        </w:rPr>
        <w:t>:</w:t>
      </w:r>
    </w:p>
    <w:p w:rsidR="00E52811" w:rsidRPr="00E52811" w:rsidRDefault="0023728F" w:rsidP="00CD3350">
      <w:pPr>
        <w:pStyle w:val="aa"/>
        <w:numPr>
          <w:ilvl w:val="2"/>
          <w:numId w:val="1"/>
        </w:numPr>
        <w:ind w:left="0" w:firstLine="709"/>
        <w:jc w:val="both"/>
        <w:rPr>
          <w:color w:val="auto"/>
          <w:sz w:val="28"/>
        </w:rPr>
      </w:pPr>
      <w:r>
        <w:rPr>
          <w:sz w:val="28"/>
        </w:rPr>
        <w:t>Строку «Целевые показатели муниципальной программы»</w:t>
      </w:r>
      <w:r w:rsidRPr="0023728F">
        <w:rPr>
          <w:sz w:val="28"/>
        </w:rPr>
        <w:t xml:space="preserve"> </w:t>
      </w:r>
      <w:r w:rsidR="00E52811">
        <w:rPr>
          <w:sz w:val="28"/>
        </w:rPr>
        <w:t>показатель «Приобретение жилья в целях реализации полномочий в области жилищных отношений» уменьшить на 15 штук;</w:t>
      </w:r>
    </w:p>
    <w:p w:rsidR="008301D8" w:rsidRDefault="005039C8" w:rsidP="00CD3350">
      <w:pPr>
        <w:pStyle w:val="aa"/>
        <w:numPr>
          <w:ilvl w:val="2"/>
          <w:numId w:val="1"/>
        </w:numPr>
        <w:ind w:left="0" w:firstLine="709"/>
        <w:jc w:val="both"/>
        <w:rPr>
          <w:sz w:val="28"/>
        </w:rPr>
      </w:pPr>
      <w:r w:rsidRPr="005039C8">
        <w:rPr>
          <w:sz w:val="28"/>
        </w:rPr>
        <w:t>Строку «Параметры финансового обеспечения муниципальной программы» изложить в новой редакции, в том числе</w:t>
      </w:r>
      <w:r w:rsidR="00E52811">
        <w:rPr>
          <w:sz w:val="28"/>
        </w:rPr>
        <w:t xml:space="preserve"> на 2019 год</w:t>
      </w:r>
      <w:r w:rsidRPr="005039C8">
        <w:rPr>
          <w:sz w:val="28"/>
        </w:rPr>
        <w:t xml:space="preserve"> уменьшить общий объём финансирования на сумму </w:t>
      </w:r>
      <w:r w:rsidR="00E52811">
        <w:rPr>
          <w:sz w:val="28"/>
        </w:rPr>
        <w:t>35 272,48</w:t>
      </w:r>
      <w:r w:rsidRPr="005039C8">
        <w:rPr>
          <w:sz w:val="28"/>
        </w:rPr>
        <w:t xml:space="preserve"> тыс. рублей</w:t>
      </w:r>
      <w:r w:rsidR="008301D8">
        <w:rPr>
          <w:sz w:val="28"/>
        </w:rPr>
        <w:t>, в том числе:</w:t>
      </w:r>
    </w:p>
    <w:p w:rsidR="00E52811" w:rsidRDefault="002C33DA" w:rsidP="00CD3350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52811">
        <w:rPr>
          <w:sz w:val="28"/>
        </w:rPr>
        <w:t>уменьшить бюджет муниципального образования город Нефтеюганск на 2 468,98 тыс. рублей;</w:t>
      </w:r>
    </w:p>
    <w:p w:rsidR="00E52811" w:rsidRPr="00E17B7A" w:rsidRDefault="001762D9" w:rsidP="00CD3350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>- уменьшить бюджет Ханты-Мансийского автономного округа – Югры на 32 803,5</w:t>
      </w:r>
      <w:r w:rsidR="00103DD7">
        <w:rPr>
          <w:sz w:val="28"/>
        </w:rPr>
        <w:t xml:space="preserve"> тыс. рублей.</w:t>
      </w:r>
    </w:p>
    <w:p w:rsidR="00761658" w:rsidRDefault="00761658" w:rsidP="00CD3350">
      <w:pPr>
        <w:pStyle w:val="aa"/>
        <w:numPr>
          <w:ilvl w:val="1"/>
          <w:numId w:val="1"/>
        </w:numPr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В таблице 2 «Перечень основных мероприятий муниципальной программы»:</w:t>
      </w:r>
    </w:p>
    <w:p w:rsidR="00DB4EC3" w:rsidRDefault="00761658" w:rsidP="00CD3350">
      <w:pPr>
        <w:ind w:firstLine="708"/>
        <w:jc w:val="both"/>
        <w:rPr>
          <w:rFonts w:cs="Times New Roman"/>
          <w:sz w:val="28"/>
          <w:szCs w:val="28"/>
        </w:rPr>
      </w:pPr>
      <w:r w:rsidRPr="00761658">
        <w:rPr>
          <w:sz w:val="28"/>
        </w:rPr>
        <w:t>3.</w:t>
      </w:r>
      <w:r w:rsidR="00971E2A">
        <w:rPr>
          <w:sz w:val="28"/>
        </w:rPr>
        <w:t>2</w:t>
      </w:r>
      <w:r w:rsidRPr="00761658">
        <w:rPr>
          <w:sz w:val="28"/>
        </w:rPr>
        <w:t>.</w:t>
      </w:r>
      <w:r>
        <w:rPr>
          <w:sz w:val="28"/>
        </w:rPr>
        <w:t>1.</w:t>
      </w:r>
      <w:r w:rsidRPr="00761658">
        <w:rPr>
          <w:sz w:val="28"/>
        </w:rPr>
        <w:t xml:space="preserve"> </w:t>
      </w:r>
      <w:r w:rsidR="00971E2A">
        <w:rPr>
          <w:sz w:val="28"/>
        </w:rPr>
        <w:t xml:space="preserve">По основному </w:t>
      </w:r>
      <w:r w:rsidR="00971E2A" w:rsidRPr="00761658">
        <w:rPr>
          <w:sz w:val="28"/>
        </w:rPr>
        <w:t>мероприяти</w:t>
      </w:r>
      <w:r w:rsidR="00971E2A">
        <w:rPr>
          <w:sz w:val="28"/>
        </w:rPr>
        <w:t>ю</w:t>
      </w:r>
      <w:r w:rsidR="00971E2A" w:rsidRPr="00761658">
        <w:rPr>
          <w:sz w:val="28"/>
        </w:rPr>
        <w:t xml:space="preserve"> </w:t>
      </w:r>
      <w:r w:rsidR="00E17B7A">
        <w:rPr>
          <w:sz w:val="28"/>
        </w:rPr>
        <w:t>2.1</w:t>
      </w:r>
      <w:r w:rsidR="00971E2A" w:rsidRPr="00761658">
        <w:rPr>
          <w:sz w:val="28"/>
        </w:rPr>
        <w:t xml:space="preserve"> </w:t>
      </w:r>
      <w:r w:rsidR="00971E2A">
        <w:rPr>
          <w:rFonts w:cs="Times New Roman"/>
          <w:sz w:val="28"/>
          <w:szCs w:val="28"/>
        </w:rPr>
        <w:t>«</w:t>
      </w:r>
      <w:r w:rsidR="00E17B7A">
        <w:rPr>
          <w:rFonts w:cs="Times New Roman"/>
          <w:sz w:val="28"/>
          <w:szCs w:val="28"/>
        </w:rPr>
        <w:t>Приобретение жилья, в целях реализации полномочий в области жилищных отношений, установленных законодательством Российской Федерации</w:t>
      </w:r>
      <w:r w:rsidR="00971E2A">
        <w:rPr>
          <w:rFonts w:cs="Times New Roman"/>
          <w:sz w:val="28"/>
          <w:szCs w:val="28"/>
        </w:rPr>
        <w:t>»</w:t>
      </w:r>
      <w:r w:rsidR="00E82D37" w:rsidRPr="00E82D37">
        <w:rPr>
          <w:sz w:val="28"/>
          <w:szCs w:val="28"/>
        </w:rPr>
        <w:t xml:space="preserve"> </w:t>
      </w:r>
      <w:r w:rsidR="00E82D37">
        <w:rPr>
          <w:sz w:val="28"/>
        </w:rPr>
        <w:t>о</w:t>
      </w:r>
      <w:r w:rsidR="00E82D37" w:rsidRPr="00761658">
        <w:rPr>
          <w:sz w:val="28"/>
        </w:rPr>
        <w:t xml:space="preserve">тветственному исполнителю департаменту </w:t>
      </w:r>
      <w:r w:rsidR="005A0E74">
        <w:rPr>
          <w:sz w:val="28"/>
        </w:rPr>
        <w:t xml:space="preserve">муниципального имущества </w:t>
      </w:r>
      <w:r w:rsidR="00E82D37" w:rsidRPr="00761658">
        <w:rPr>
          <w:sz w:val="28"/>
        </w:rPr>
        <w:t xml:space="preserve">администрации города Нефтеюганска </w:t>
      </w:r>
      <w:r w:rsidR="005A0E74">
        <w:rPr>
          <w:rFonts w:cs="Times New Roman"/>
          <w:sz w:val="28"/>
          <w:szCs w:val="28"/>
        </w:rPr>
        <w:t>увеличение</w:t>
      </w:r>
      <w:r w:rsidR="00971E2A">
        <w:rPr>
          <w:rFonts w:cs="Times New Roman"/>
          <w:sz w:val="28"/>
          <w:szCs w:val="28"/>
        </w:rPr>
        <w:t xml:space="preserve"> на сумму </w:t>
      </w:r>
      <w:r w:rsidR="005A0E74">
        <w:rPr>
          <w:rFonts w:cs="Times New Roman"/>
          <w:sz w:val="28"/>
          <w:szCs w:val="28"/>
        </w:rPr>
        <w:t>332 671,068</w:t>
      </w:r>
      <w:r w:rsidR="005F0AF4">
        <w:rPr>
          <w:rFonts w:cs="Times New Roman"/>
          <w:sz w:val="28"/>
          <w:szCs w:val="28"/>
        </w:rPr>
        <w:t xml:space="preserve"> тыс. </w:t>
      </w:r>
      <w:r w:rsidR="00971E2A">
        <w:rPr>
          <w:rFonts w:cs="Times New Roman"/>
          <w:sz w:val="28"/>
          <w:szCs w:val="28"/>
        </w:rPr>
        <w:t>руб</w:t>
      </w:r>
      <w:r w:rsidR="00217913">
        <w:rPr>
          <w:rFonts w:cs="Times New Roman"/>
          <w:sz w:val="28"/>
          <w:szCs w:val="28"/>
        </w:rPr>
        <w:t>лей</w:t>
      </w:r>
      <w:r w:rsidR="00971E2A">
        <w:rPr>
          <w:rFonts w:cs="Times New Roman"/>
          <w:sz w:val="28"/>
          <w:szCs w:val="28"/>
        </w:rPr>
        <w:t xml:space="preserve"> (окружной бюджет </w:t>
      </w:r>
      <w:r w:rsidR="005A0E74">
        <w:rPr>
          <w:rFonts w:cs="Times New Roman"/>
          <w:sz w:val="28"/>
          <w:szCs w:val="28"/>
        </w:rPr>
        <w:t>309 384,000</w:t>
      </w:r>
      <w:r w:rsidR="005F0AF4">
        <w:rPr>
          <w:rFonts w:cs="Times New Roman"/>
          <w:sz w:val="28"/>
          <w:szCs w:val="28"/>
        </w:rPr>
        <w:t xml:space="preserve"> тыс. </w:t>
      </w:r>
      <w:r w:rsidR="005B17FD">
        <w:rPr>
          <w:rFonts w:cs="Times New Roman"/>
          <w:sz w:val="28"/>
          <w:szCs w:val="28"/>
        </w:rPr>
        <w:t>рублей,</w:t>
      </w:r>
      <w:r w:rsidR="00971E2A">
        <w:rPr>
          <w:rFonts w:cs="Times New Roman"/>
          <w:sz w:val="28"/>
          <w:szCs w:val="28"/>
        </w:rPr>
        <w:t xml:space="preserve"> местный бюджет </w:t>
      </w:r>
      <w:r w:rsidR="005A0E74">
        <w:rPr>
          <w:rFonts w:cs="Times New Roman"/>
          <w:sz w:val="28"/>
          <w:szCs w:val="28"/>
        </w:rPr>
        <w:t>23 287,068</w:t>
      </w:r>
      <w:r w:rsidR="005F0AF4">
        <w:rPr>
          <w:rFonts w:cs="Times New Roman"/>
          <w:sz w:val="28"/>
          <w:szCs w:val="28"/>
        </w:rPr>
        <w:t xml:space="preserve"> тыс. </w:t>
      </w:r>
      <w:r w:rsidR="00971E2A">
        <w:rPr>
          <w:rFonts w:cs="Times New Roman"/>
          <w:sz w:val="28"/>
          <w:szCs w:val="28"/>
        </w:rPr>
        <w:t>руб</w:t>
      </w:r>
      <w:r w:rsidR="00217913">
        <w:rPr>
          <w:rFonts w:cs="Times New Roman"/>
          <w:sz w:val="28"/>
          <w:szCs w:val="28"/>
        </w:rPr>
        <w:t>лей</w:t>
      </w:r>
      <w:r w:rsidR="00971E2A">
        <w:rPr>
          <w:rFonts w:cs="Times New Roman"/>
          <w:sz w:val="28"/>
          <w:szCs w:val="28"/>
        </w:rPr>
        <w:t>)</w:t>
      </w:r>
      <w:r w:rsidR="00485F8A">
        <w:rPr>
          <w:rFonts w:cs="Times New Roman"/>
          <w:sz w:val="28"/>
          <w:szCs w:val="28"/>
        </w:rPr>
        <w:t>.</w:t>
      </w:r>
    </w:p>
    <w:p w:rsidR="00FB3E1F" w:rsidRDefault="005F0AF4" w:rsidP="00CD33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3.2.2. </w:t>
      </w:r>
      <w:r w:rsidR="00E63835">
        <w:rPr>
          <w:sz w:val="28"/>
        </w:rPr>
        <w:t>П</w:t>
      </w:r>
      <w:r w:rsidR="00761658">
        <w:rPr>
          <w:sz w:val="28"/>
        </w:rPr>
        <w:t xml:space="preserve">о основному </w:t>
      </w:r>
      <w:r w:rsidR="00761658" w:rsidRPr="00761658">
        <w:rPr>
          <w:sz w:val="28"/>
        </w:rPr>
        <w:t>мероприяти</w:t>
      </w:r>
      <w:r w:rsidR="00761658">
        <w:rPr>
          <w:sz w:val="28"/>
        </w:rPr>
        <w:t>ю</w:t>
      </w:r>
      <w:r w:rsidR="00761658" w:rsidRPr="00761658">
        <w:rPr>
          <w:sz w:val="28"/>
        </w:rPr>
        <w:t xml:space="preserve"> </w:t>
      </w:r>
      <w:r w:rsidR="00485F8A">
        <w:rPr>
          <w:sz w:val="28"/>
        </w:rPr>
        <w:t>2.4</w:t>
      </w:r>
      <w:r w:rsidR="00761658" w:rsidRPr="00761658">
        <w:rPr>
          <w:sz w:val="28"/>
        </w:rPr>
        <w:t xml:space="preserve"> «</w:t>
      </w:r>
      <w:r w:rsidR="00485F8A">
        <w:rPr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761658" w:rsidRPr="00761658">
        <w:rPr>
          <w:sz w:val="28"/>
          <w:szCs w:val="28"/>
        </w:rPr>
        <w:t xml:space="preserve">» </w:t>
      </w:r>
      <w:r w:rsidR="00FB3E1F" w:rsidRPr="00FB3E1F">
        <w:rPr>
          <w:sz w:val="28"/>
          <w:szCs w:val="28"/>
        </w:rPr>
        <w:t>ответственному исполнителю департаменту муниципального имущества администрации города Нефтеюганска у</w:t>
      </w:r>
      <w:r w:rsidR="00FB3E1F">
        <w:rPr>
          <w:sz w:val="28"/>
          <w:szCs w:val="28"/>
        </w:rPr>
        <w:t>меньшение</w:t>
      </w:r>
      <w:r w:rsidR="00FB3E1F" w:rsidRPr="00FB3E1F">
        <w:rPr>
          <w:sz w:val="28"/>
          <w:szCs w:val="28"/>
        </w:rPr>
        <w:t xml:space="preserve"> на сумму </w:t>
      </w:r>
      <w:r w:rsidR="00FB3E1F">
        <w:rPr>
          <w:sz w:val="28"/>
          <w:szCs w:val="28"/>
        </w:rPr>
        <w:t>367 943,548</w:t>
      </w:r>
      <w:r w:rsidR="00FB3E1F" w:rsidRPr="00FB3E1F">
        <w:rPr>
          <w:sz w:val="28"/>
          <w:szCs w:val="28"/>
        </w:rPr>
        <w:t xml:space="preserve"> тыс. рублей (окружной бюджет </w:t>
      </w:r>
      <w:r w:rsidR="00FB3E1F">
        <w:rPr>
          <w:sz w:val="28"/>
          <w:szCs w:val="28"/>
        </w:rPr>
        <w:t>342 187,500</w:t>
      </w:r>
      <w:r w:rsidR="00FB3E1F" w:rsidRPr="00FB3E1F">
        <w:rPr>
          <w:sz w:val="28"/>
          <w:szCs w:val="28"/>
        </w:rPr>
        <w:t xml:space="preserve"> тыс. </w:t>
      </w:r>
      <w:r w:rsidR="005B17FD">
        <w:rPr>
          <w:sz w:val="28"/>
          <w:szCs w:val="28"/>
        </w:rPr>
        <w:t>рублей,</w:t>
      </w:r>
      <w:r w:rsidR="00FB3E1F" w:rsidRPr="00FB3E1F">
        <w:rPr>
          <w:sz w:val="28"/>
          <w:szCs w:val="28"/>
        </w:rPr>
        <w:t xml:space="preserve"> местный бюджет </w:t>
      </w:r>
      <w:r w:rsidR="00FB3E1F">
        <w:rPr>
          <w:sz w:val="28"/>
          <w:szCs w:val="28"/>
        </w:rPr>
        <w:t>25 756,048</w:t>
      </w:r>
      <w:r w:rsidR="00FB3E1F" w:rsidRPr="00FB3E1F">
        <w:rPr>
          <w:sz w:val="28"/>
          <w:szCs w:val="28"/>
        </w:rPr>
        <w:t xml:space="preserve"> тыс. рублей).</w:t>
      </w:r>
    </w:p>
    <w:p w:rsidR="00A25B98" w:rsidRDefault="00A25B98" w:rsidP="00CD3350">
      <w:pPr>
        <w:tabs>
          <w:tab w:val="left" w:pos="0"/>
        </w:tabs>
        <w:jc w:val="both"/>
        <w:rPr>
          <w:sz w:val="28"/>
          <w:szCs w:val="28"/>
        </w:rPr>
      </w:pPr>
    </w:p>
    <w:p w:rsidR="00FC74A3" w:rsidRPr="00FC74A3" w:rsidRDefault="00FC74A3" w:rsidP="00CD33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74A3">
        <w:rPr>
          <w:sz w:val="28"/>
          <w:szCs w:val="28"/>
        </w:rPr>
        <w:t>4. Финансовые показатели, содержащиеся в проекте изменений, соответствуют расчёту, предоставленному на экспертизу.</w:t>
      </w:r>
    </w:p>
    <w:p w:rsidR="00FC74A3" w:rsidRPr="00FC74A3" w:rsidRDefault="00FC74A3" w:rsidP="00CD33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74A3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FC74A3" w:rsidRPr="00FC74A3" w:rsidRDefault="00FC74A3" w:rsidP="00CD3350">
      <w:pPr>
        <w:tabs>
          <w:tab w:val="left" w:pos="0"/>
        </w:tabs>
        <w:jc w:val="both"/>
        <w:rPr>
          <w:sz w:val="28"/>
          <w:szCs w:val="28"/>
        </w:rPr>
      </w:pPr>
    </w:p>
    <w:p w:rsidR="00C47B1F" w:rsidRPr="00FC74A3" w:rsidRDefault="00C47B1F" w:rsidP="00CD3350">
      <w:pPr>
        <w:widowControl w:val="0"/>
        <w:tabs>
          <w:tab w:val="left" w:pos="709"/>
        </w:tabs>
        <w:jc w:val="both"/>
        <w:rPr>
          <w:sz w:val="20"/>
        </w:rPr>
      </w:pPr>
    </w:p>
    <w:p w:rsidR="00E77CC7" w:rsidRDefault="00E77CC7" w:rsidP="00CD3350">
      <w:pPr>
        <w:jc w:val="both"/>
        <w:rPr>
          <w:sz w:val="28"/>
        </w:rPr>
      </w:pPr>
    </w:p>
    <w:p w:rsidR="00535656" w:rsidRPr="001A748A" w:rsidRDefault="00535656" w:rsidP="00CD3350">
      <w:pPr>
        <w:jc w:val="both"/>
        <w:rPr>
          <w:sz w:val="28"/>
        </w:rPr>
      </w:pPr>
    </w:p>
    <w:p w:rsidR="00C47B1F" w:rsidRDefault="00FC74A3" w:rsidP="00CD3350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5F0AF4">
        <w:rPr>
          <w:sz w:val="28"/>
        </w:rPr>
        <w:t xml:space="preserve"> </w:t>
      </w:r>
      <w:r w:rsidR="00D55BF1">
        <w:rPr>
          <w:sz w:val="28"/>
        </w:rPr>
        <w:t xml:space="preserve">                                  </w:t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5F0AF4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 w:rsidR="00CD3350">
        <w:rPr>
          <w:sz w:val="28"/>
        </w:rPr>
        <w:t xml:space="preserve">           </w:t>
      </w:r>
      <w:r w:rsidR="005F0AF4">
        <w:rPr>
          <w:sz w:val="28"/>
        </w:rPr>
        <w:t xml:space="preserve"> </w:t>
      </w:r>
      <w:r>
        <w:rPr>
          <w:sz w:val="28"/>
        </w:rPr>
        <w:t>С.А. Гичкина</w:t>
      </w:r>
    </w:p>
    <w:p w:rsidR="00C47B1F" w:rsidRDefault="00C47B1F" w:rsidP="00CD3350">
      <w:pPr>
        <w:tabs>
          <w:tab w:val="left" w:pos="0"/>
        </w:tabs>
        <w:jc w:val="both"/>
        <w:rPr>
          <w:sz w:val="20"/>
        </w:rPr>
      </w:pPr>
    </w:p>
    <w:p w:rsidR="005F0AF4" w:rsidRDefault="005F0AF4" w:rsidP="005F0AF4">
      <w:pPr>
        <w:ind w:firstLine="708"/>
        <w:jc w:val="both"/>
        <w:rPr>
          <w:rFonts w:cs="Times New Roman"/>
          <w:sz w:val="28"/>
          <w:szCs w:val="28"/>
        </w:rPr>
      </w:pPr>
    </w:p>
    <w:p w:rsidR="00CD3350" w:rsidRDefault="00CD3350" w:rsidP="005F0AF4">
      <w:pPr>
        <w:ind w:firstLine="708"/>
        <w:jc w:val="both"/>
        <w:rPr>
          <w:rFonts w:cs="Times New Roman"/>
          <w:sz w:val="28"/>
          <w:szCs w:val="28"/>
        </w:rPr>
      </w:pPr>
    </w:p>
    <w:p w:rsidR="009D0BCE" w:rsidRDefault="009D0BCE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E77CC7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486C6D" w:rsidRPr="00486C6D">
        <w:rPr>
          <w:sz w:val="16"/>
          <w:szCs w:val="16"/>
        </w:rPr>
        <w:t xml:space="preserve">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Счётной палаты </w:t>
      </w:r>
      <w:r w:rsidR="00CD3350" w:rsidRPr="00486C6D">
        <w:rPr>
          <w:sz w:val="16"/>
          <w:szCs w:val="16"/>
        </w:rPr>
        <w:t>города Нефтеюганска</w:t>
      </w:r>
    </w:p>
    <w:p w:rsidR="00486C6D" w:rsidRPr="00486C6D" w:rsidRDefault="009D0BCE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Филатова Юлия Евгеньевна</w:t>
      </w:r>
    </w:p>
    <w:p w:rsidR="00486C6D" w:rsidRPr="00486C6D" w:rsidRDefault="00F9425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8-(3463)-203</w:t>
      </w:r>
      <w:r w:rsidR="009D0BCE">
        <w:rPr>
          <w:sz w:val="16"/>
          <w:szCs w:val="16"/>
        </w:rPr>
        <w:t>303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F4B" w:rsidRDefault="000C0F4B">
      <w:r>
        <w:separator/>
      </w:r>
    </w:p>
  </w:endnote>
  <w:endnote w:type="continuationSeparator" w:id="0">
    <w:p w:rsidR="000C0F4B" w:rsidRDefault="000C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F4B" w:rsidRDefault="000C0F4B">
      <w:r>
        <w:separator/>
      </w:r>
    </w:p>
  </w:footnote>
  <w:footnote w:type="continuationSeparator" w:id="0">
    <w:p w:rsidR="000C0F4B" w:rsidRDefault="000C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D3350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25F63"/>
    <w:rsid w:val="00036E5A"/>
    <w:rsid w:val="00066861"/>
    <w:rsid w:val="000A5741"/>
    <w:rsid w:val="000C0F4B"/>
    <w:rsid w:val="000D0BE0"/>
    <w:rsid w:val="000E490E"/>
    <w:rsid w:val="00103DD7"/>
    <w:rsid w:val="001058DF"/>
    <w:rsid w:val="00111A29"/>
    <w:rsid w:val="00162670"/>
    <w:rsid w:val="001662BE"/>
    <w:rsid w:val="00172A27"/>
    <w:rsid w:val="001762D9"/>
    <w:rsid w:val="00191761"/>
    <w:rsid w:val="001919C8"/>
    <w:rsid w:val="00191D1C"/>
    <w:rsid w:val="001967F7"/>
    <w:rsid w:val="001A748A"/>
    <w:rsid w:val="001B621C"/>
    <w:rsid w:val="001F4A82"/>
    <w:rsid w:val="00212E89"/>
    <w:rsid w:val="00217913"/>
    <w:rsid w:val="0023155C"/>
    <w:rsid w:val="0023728F"/>
    <w:rsid w:val="00251473"/>
    <w:rsid w:val="00262AA1"/>
    <w:rsid w:val="00263753"/>
    <w:rsid w:val="002728B5"/>
    <w:rsid w:val="0028344E"/>
    <w:rsid w:val="002A59A7"/>
    <w:rsid w:val="002A63F2"/>
    <w:rsid w:val="002B74C3"/>
    <w:rsid w:val="002C33DA"/>
    <w:rsid w:val="002C506D"/>
    <w:rsid w:val="00315485"/>
    <w:rsid w:val="00316F81"/>
    <w:rsid w:val="003A45A2"/>
    <w:rsid w:val="003B4572"/>
    <w:rsid w:val="003B5D4B"/>
    <w:rsid w:val="0040020E"/>
    <w:rsid w:val="00422F1B"/>
    <w:rsid w:val="00467D0A"/>
    <w:rsid w:val="0047582A"/>
    <w:rsid w:val="00481482"/>
    <w:rsid w:val="00485F8A"/>
    <w:rsid w:val="00486C6D"/>
    <w:rsid w:val="00494C3E"/>
    <w:rsid w:val="004A524D"/>
    <w:rsid w:val="004E3D2A"/>
    <w:rsid w:val="004F08DF"/>
    <w:rsid w:val="005039C8"/>
    <w:rsid w:val="00535656"/>
    <w:rsid w:val="005A0E74"/>
    <w:rsid w:val="005A4869"/>
    <w:rsid w:val="005B17FD"/>
    <w:rsid w:val="005F0AF4"/>
    <w:rsid w:val="006225B3"/>
    <w:rsid w:val="006449FD"/>
    <w:rsid w:val="00671B5A"/>
    <w:rsid w:val="006E07F1"/>
    <w:rsid w:val="00761658"/>
    <w:rsid w:val="00795456"/>
    <w:rsid w:val="008301D8"/>
    <w:rsid w:val="00862343"/>
    <w:rsid w:val="00881315"/>
    <w:rsid w:val="0089604A"/>
    <w:rsid w:val="00933370"/>
    <w:rsid w:val="00952B64"/>
    <w:rsid w:val="009564B0"/>
    <w:rsid w:val="00971E2A"/>
    <w:rsid w:val="009B224B"/>
    <w:rsid w:val="009C2636"/>
    <w:rsid w:val="009D0BCE"/>
    <w:rsid w:val="009F5049"/>
    <w:rsid w:val="00A00259"/>
    <w:rsid w:val="00A04E77"/>
    <w:rsid w:val="00A232B7"/>
    <w:rsid w:val="00A25B98"/>
    <w:rsid w:val="00A30C32"/>
    <w:rsid w:val="00A32205"/>
    <w:rsid w:val="00A81BD6"/>
    <w:rsid w:val="00AA6D8A"/>
    <w:rsid w:val="00AD5D5A"/>
    <w:rsid w:val="00AF1BCE"/>
    <w:rsid w:val="00AF2590"/>
    <w:rsid w:val="00B1049E"/>
    <w:rsid w:val="00B25B5A"/>
    <w:rsid w:val="00B26813"/>
    <w:rsid w:val="00BA43CC"/>
    <w:rsid w:val="00BD6B31"/>
    <w:rsid w:val="00BF4A05"/>
    <w:rsid w:val="00C41148"/>
    <w:rsid w:val="00C47B1F"/>
    <w:rsid w:val="00C76F9A"/>
    <w:rsid w:val="00C81A17"/>
    <w:rsid w:val="00CA2AF2"/>
    <w:rsid w:val="00CA75A0"/>
    <w:rsid w:val="00CD3350"/>
    <w:rsid w:val="00D16D06"/>
    <w:rsid w:val="00D22D2F"/>
    <w:rsid w:val="00D55BF1"/>
    <w:rsid w:val="00D772A1"/>
    <w:rsid w:val="00DB4EC3"/>
    <w:rsid w:val="00DD5D2F"/>
    <w:rsid w:val="00DE1680"/>
    <w:rsid w:val="00E17B7A"/>
    <w:rsid w:val="00E21540"/>
    <w:rsid w:val="00E447EA"/>
    <w:rsid w:val="00E52811"/>
    <w:rsid w:val="00E63835"/>
    <w:rsid w:val="00E77CC7"/>
    <w:rsid w:val="00E82D37"/>
    <w:rsid w:val="00E84F57"/>
    <w:rsid w:val="00E92903"/>
    <w:rsid w:val="00EC08F9"/>
    <w:rsid w:val="00EC59EB"/>
    <w:rsid w:val="00ED77A0"/>
    <w:rsid w:val="00F47516"/>
    <w:rsid w:val="00F81233"/>
    <w:rsid w:val="00F8763E"/>
    <w:rsid w:val="00F94251"/>
    <w:rsid w:val="00F97F16"/>
    <w:rsid w:val="00FB3E1F"/>
    <w:rsid w:val="00FC74A3"/>
    <w:rsid w:val="00FD484E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BF21"/>
  <w15:docId w15:val="{04522842-7508-49F9-820B-6A203D49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E23B08-07AB-420F-BECD-E8F14F6E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20</cp:revision>
  <cp:lastPrinted>2019-11-25T09:28:00Z</cp:lastPrinted>
  <dcterms:created xsi:type="dcterms:W3CDTF">2019-10-04T07:38:00Z</dcterms:created>
  <dcterms:modified xsi:type="dcterms:W3CDTF">2019-12-27T11:40:00Z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