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A245E6" w:rsidRPr="00540D6E" w:rsidTr="007A0310">
        <w:tc>
          <w:tcPr>
            <w:tcW w:w="4644" w:type="dxa"/>
            <w:vMerge w:val="restart"/>
          </w:tcPr>
          <w:p w:rsidR="00A245E6" w:rsidRPr="00540D6E" w:rsidRDefault="00EC100E" w:rsidP="007A0310">
            <w:pPr>
              <w:rPr>
                <w:sz w:val="28"/>
                <w:szCs w:val="28"/>
              </w:rPr>
            </w:pPr>
            <w:r>
              <w:rPr>
                <w:b/>
              </w:rPr>
              <w:pict>
                <v:line id="_x0000_s1026" style="position:absolute;z-index:251659264" from="1.35pt,.25pt" to="466.5pt,.6pt" o:allowincell="f" strokeweight="2pt"/>
              </w:pict>
            </w:r>
            <w:r>
              <w:rPr>
                <w:b/>
              </w:rPr>
              <w:pict>
                <v:line id="_x0000_s1027" style="position:absolute;z-index:251660288" from="1.35pt,3.05pt" to="467.95pt,3.1pt" o:allowincell="f" strokeweight=".5pt"/>
              </w:pict>
            </w:r>
          </w:p>
          <w:p w:rsidR="00A245E6" w:rsidRPr="00540D6E" w:rsidRDefault="00EC100E" w:rsidP="00DB0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A245E6">
              <w:rPr>
                <w:sz w:val="28"/>
                <w:szCs w:val="28"/>
              </w:rPr>
              <w:t xml:space="preserve">от </w:t>
            </w:r>
            <w:r w:rsidR="00DB0DCC">
              <w:rPr>
                <w:sz w:val="28"/>
                <w:szCs w:val="28"/>
              </w:rPr>
              <w:t>10</w:t>
            </w:r>
            <w:r w:rsidR="00A245E6">
              <w:rPr>
                <w:sz w:val="28"/>
                <w:szCs w:val="28"/>
              </w:rPr>
              <w:t xml:space="preserve">.10.2019 № </w:t>
            </w:r>
            <w:r w:rsidR="00DB0DCC" w:rsidRPr="00DB0DCC">
              <w:rPr>
                <w:sz w:val="28"/>
                <w:szCs w:val="28"/>
              </w:rPr>
              <w:t>375</w:t>
            </w: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</w:tbl>
    <w:p w:rsidR="00533E3F" w:rsidRDefault="00533E3F">
      <w:pPr>
        <w:rPr>
          <w:b/>
          <w:sz w:val="28"/>
        </w:rPr>
      </w:pPr>
    </w:p>
    <w:p w:rsidR="00A245E6" w:rsidRDefault="00A245E6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D6AA8" w:rsidRDefault="00A245E6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Проектом изменений планируется </w:t>
      </w:r>
      <w:r w:rsidR="003D6AA8">
        <w:rPr>
          <w:sz w:val="28"/>
        </w:rPr>
        <w:t>уменьшить общий</w:t>
      </w:r>
      <w:r w:rsidR="00D2014E">
        <w:rPr>
          <w:sz w:val="28"/>
        </w:rPr>
        <w:t xml:space="preserve"> объём финансирования муниципальной программы</w:t>
      </w:r>
      <w:r w:rsidR="003D6AA8">
        <w:rPr>
          <w:sz w:val="28"/>
        </w:rPr>
        <w:t xml:space="preserve"> на </w:t>
      </w:r>
      <w:r w:rsidR="003D6AA8" w:rsidRPr="003D6AA8">
        <w:rPr>
          <w:sz w:val="28"/>
        </w:rPr>
        <w:t>30 175,79400</w:t>
      </w:r>
      <w:r w:rsidR="003D6AA8">
        <w:rPr>
          <w:sz w:val="28"/>
        </w:rPr>
        <w:t xml:space="preserve"> тыс. рублей, в т.ч:</w:t>
      </w:r>
    </w:p>
    <w:p w:rsidR="00533E3F" w:rsidRDefault="003D6AA8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2014E">
        <w:rPr>
          <w:sz w:val="28"/>
        </w:rPr>
        <w:t xml:space="preserve"> в 2019 году</w:t>
      </w:r>
      <w:r>
        <w:rPr>
          <w:sz w:val="28"/>
        </w:rPr>
        <w:t xml:space="preserve"> уменьшить</w:t>
      </w:r>
      <w:r w:rsidR="00D2014E">
        <w:rPr>
          <w:sz w:val="28"/>
        </w:rPr>
        <w:t xml:space="preserve"> на </w:t>
      </w:r>
      <w:r w:rsidRPr="003D6AA8">
        <w:rPr>
          <w:sz w:val="28"/>
        </w:rPr>
        <w:t>10 814,59400</w:t>
      </w:r>
      <w:r>
        <w:rPr>
          <w:sz w:val="28"/>
        </w:rPr>
        <w:t xml:space="preserve"> </w:t>
      </w:r>
      <w:r w:rsidR="00D2014E">
        <w:rPr>
          <w:sz w:val="28"/>
        </w:rPr>
        <w:t>тыс. рублей</w:t>
      </w:r>
      <w:r>
        <w:rPr>
          <w:sz w:val="28"/>
        </w:rPr>
        <w:t>;</w:t>
      </w:r>
    </w:p>
    <w:p w:rsidR="003D6AA8" w:rsidRDefault="003D6AA8" w:rsidP="00A93A0E">
      <w:pPr>
        <w:spacing w:line="247" w:lineRule="auto"/>
        <w:ind w:firstLine="709"/>
        <w:jc w:val="both"/>
        <w:rPr>
          <w:sz w:val="28"/>
        </w:rPr>
      </w:pPr>
      <w:r w:rsidRPr="003D6AA8">
        <w:rPr>
          <w:sz w:val="28"/>
        </w:rPr>
        <w:t>- в 20</w:t>
      </w:r>
      <w:r>
        <w:rPr>
          <w:sz w:val="28"/>
        </w:rPr>
        <w:t>20</w:t>
      </w:r>
      <w:r w:rsidRPr="003D6AA8">
        <w:rPr>
          <w:sz w:val="28"/>
        </w:rPr>
        <w:t xml:space="preserve"> году уменьшить на 9 680,60000 тыс. рублей;</w:t>
      </w:r>
    </w:p>
    <w:p w:rsidR="003D6AA8" w:rsidRDefault="003D6AA8" w:rsidP="00A93A0E">
      <w:pPr>
        <w:spacing w:line="247" w:lineRule="auto"/>
        <w:ind w:firstLine="709"/>
        <w:jc w:val="both"/>
        <w:rPr>
          <w:sz w:val="28"/>
        </w:rPr>
      </w:pPr>
      <w:r w:rsidRPr="003D6AA8">
        <w:rPr>
          <w:sz w:val="28"/>
        </w:rPr>
        <w:t>- в 20</w:t>
      </w:r>
      <w:r>
        <w:rPr>
          <w:sz w:val="28"/>
        </w:rPr>
        <w:t>21</w:t>
      </w:r>
      <w:r w:rsidRPr="003D6AA8">
        <w:rPr>
          <w:sz w:val="28"/>
        </w:rPr>
        <w:t xml:space="preserve"> году уменьшить на 9 680,60000 тыс. рублей</w:t>
      </w:r>
      <w:r>
        <w:rPr>
          <w:sz w:val="28"/>
        </w:rPr>
        <w:t>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Изменения коснулись следующих мероприятий муниципальной программы:</w:t>
      </w:r>
    </w:p>
    <w:p w:rsidR="00112D09" w:rsidRDefault="00CB3F12" w:rsidP="00A93A0E">
      <w:pPr>
        <w:tabs>
          <w:tab w:val="left" w:pos="1276"/>
        </w:tabs>
        <w:spacing w:line="247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>.1.</w:t>
      </w:r>
      <w:r w:rsidR="00112D09">
        <w:rPr>
          <w:sz w:val="28"/>
        </w:rPr>
        <w:t xml:space="preserve"> </w:t>
      </w:r>
      <w:r w:rsidR="00D2014E">
        <w:rPr>
          <w:sz w:val="28"/>
        </w:rPr>
        <w:t xml:space="preserve">По </w:t>
      </w:r>
      <w:r w:rsidR="00442D33">
        <w:rPr>
          <w:sz w:val="28"/>
        </w:rPr>
        <w:t>основному</w:t>
      </w:r>
      <w:r w:rsidR="00D2014E">
        <w:rPr>
          <w:sz w:val="28"/>
        </w:rPr>
        <w:t xml:space="preserve"> мероприятию «</w:t>
      </w:r>
      <w:r w:rsidR="003D6AA8" w:rsidRPr="003D6AA8">
        <w:rPr>
          <w:sz w:val="28"/>
        </w:rPr>
        <w:t>Возмещение газораспределительным организациям разницы в тарифах, возникающей в связи с реализацией населению сжиженного углеводородного газа по социально-ориентированным тарифам</w:t>
      </w:r>
      <w:r w:rsidR="00D2014E">
        <w:rPr>
          <w:sz w:val="28"/>
        </w:rPr>
        <w:t xml:space="preserve">» ответственному исполнителю департаменту жилищно-коммунального хозяйства администрации города планируется </w:t>
      </w:r>
      <w:r w:rsidR="003D6AA8">
        <w:rPr>
          <w:sz w:val="28"/>
        </w:rPr>
        <w:t>уменьшить</w:t>
      </w:r>
      <w:r w:rsidR="00D2014E">
        <w:rPr>
          <w:sz w:val="28"/>
        </w:rPr>
        <w:t xml:space="preserve"> объём финансирования </w:t>
      </w:r>
      <w:r w:rsidR="00C437B7">
        <w:rPr>
          <w:sz w:val="28"/>
        </w:rPr>
        <w:t xml:space="preserve">в 2019 году </w:t>
      </w:r>
      <w:r w:rsidR="00112D09">
        <w:rPr>
          <w:sz w:val="28"/>
        </w:rPr>
        <w:t>з</w:t>
      </w:r>
      <w:r w:rsidR="00112D09" w:rsidRPr="00112D09">
        <w:rPr>
          <w:sz w:val="28"/>
        </w:rPr>
        <w:t>а счёт субвенции из окружного бюджета</w:t>
      </w:r>
      <w:r w:rsidR="00112D09">
        <w:rPr>
          <w:sz w:val="28"/>
        </w:rPr>
        <w:t xml:space="preserve"> </w:t>
      </w:r>
      <w:r w:rsidR="00112D09" w:rsidRPr="00112D09">
        <w:rPr>
          <w:sz w:val="28"/>
        </w:rPr>
        <w:t>в связи с возникшей экономией по средствам, выделяемым на возмещение недополученных доходов организациям осуществляющим реализацию сжиженного газа в сумме 111</w:t>
      </w:r>
      <w:r w:rsidR="00112D09">
        <w:rPr>
          <w:sz w:val="28"/>
        </w:rPr>
        <w:t>,</w:t>
      </w:r>
      <w:r w:rsidR="00112D09" w:rsidRPr="00112D09">
        <w:rPr>
          <w:sz w:val="28"/>
        </w:rPr>
        <w:t>600</w:t>
      </w:r>
      <w:r w:rsidR="00112D09">
        <w:rPr>
          <w:sz w:val="28"/>
        </w:rPr>
        <w:t xml:space="preserve"> тыс.</w:t>
      </w:r>
      <w:r w:rsidR="00112D09" w:rsidRPr="00112D09">
        <w:rPr>
          <w:sz w:val="28"/>
        </w:rPr>
        <w:t xml:space="preserve"> рублей.</w:t>
      </w:r>
    </w:p>
    <w:p w:rsidR="00442D33" w:rsidRDefault="00112D09" w:rsidP="00A93A0E">
      <w:pPr>
        <w:tabs>
          <w:tab w:val="left" w:pos="1276"/>
        </w:tabs>
        <w:spacing w:line="247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.2. </w:t>
      </w:r>
      <w:r w:rsidR="00442D33">
        <w:rPr>
          <w:sz w:val="28"/>
        </w:rPr>
        <w:t>По основному мероприятию «</w:t>
      </w:r>
      <w:r w:rsidR="00442D33" w:rsidRPr="00442D33">
        <w:rPr>
          <w:sz w:val="28"/>
        </w:rPr>
        <w:t>Поддержка технического состояния жилищного фонда</w:t>
      </w:r>
      <w:r w:rsidR="00442D33">
        <w:rPr>
          <w:sz w:val="28"/>
        </w:rPr>
        <w:t xml:space="preserve">» соисполнителю департаменту муниципального имущества администрации города Нефтеюганска </w:t>
      </w:r>
      <w:r w:rsidR="00F06EAA">
        <w:rPr>
          <w:sz w:val="28"/>
        </w:rPr>
        <w:t xml:space="preserve">планируется увеличить расходы </w:t>
      </w:r>
      <w:r w:rsidR="00C437B7">
        <w:rPr>
          <w:sz w:val="28"/>
        </w:rPr>
        <w:t xml:space="preserve">за счёт средств местного бюджета в 2019 году </w:t>
      </w:r>
      <w:r w:rsidR="00442D33">
        <w:rPr>
          <w:sz w:val="28"/>
        </w:rPr>
        <w:t>н</w:t>
      </w:r>
      <w:r w:rsidR="00442D33" w:rsidRPr="00442D33">
        <w:rPr>
          <w:sz w:val="28"/>
        </w:rPr>
        <w:t>а оплату взносов на капитальный ремонт общего имущества в многоквартирных домах в сумме 125</w:t>
      </w:r>
      <w:r w:rsidR="00442D33">
        <w:rPr>
          <w:sz w:val="28"/>
        </w:rPr>
        <w:t>,</w:t>
      </w:r>
      <w:r w:rsidR="00442D33" w:rsidRPr="00442D33">
        <w:rPr>
          <w:sz w:val="28"/>
        </w:rPr>
        <w:t xml:space="preserve">855 </w:t>
      </w:r>
      <w:r w:rsidR="00442D33">
        <w:rPr>
          <w:sz w:val="28"/>
        </w:rPr>
        <w:t xml:space="preserve">тыс. </w:t>
      </w:r>
      <w:r w:rsidR="00442D33" w:rsidRPr="00442D33">
        <w:rPr>
          <w:sz w:val="28"/>
        </w:rPr>
        <w:t>рублей.</w:t>
      </w:r>
    </w:p>
    <w:p w:rsidR="00442D33" w:rsidRDefault="00442D33" w:rsidP="00A93A0E">
      <w:pPr>
        <w:tabs>
          <w:tab w:val="left" w:pos="1276"/>
        </w:tabs>
        <w:spacing w:line="247" w:lineRule="auto"/>
        <w:ind w:firstLine="567"/>
        <w:jc w:val="both"/>
        <w:rPr>
          <w:sz w:val="28"/>
        </w:rPr>
      </w:pPr>
      <w:r>
        <w:rPr>
          <w:sz w:val="28"/>
        </w:rPr>
        <w:t xml:space="preserve">2.3. </w:t>
      </w:r>
      <w:r w:rsidR="00101BF5" w:rsidRPr="00101BF5">
        <w:rPr>
          <w:sz w:val="28"/>
        </w:rPr>
        <w:t>По основному мероприятию «Снос непригодных для проживания многоквартирных домов</w:t>
      </w:r>
      <w:r w:rsidR="00101BF5">
        <w:rPr>
          <w:sz w:val="28"/>
        </w:rPr>
        <w:t>»</w:t>
      </w:r>
      <w:r w:rsidR="00101BF5" w:rsidRPr="00101BF5">
        <w:t xml:space="preserve"> </w:t>
      </w:r>
      <w:r w:rsidR="00101BF5" w:rsidRPr="00101BF5">
        <w:rPr>
          <w:sz w:val="28"/>
        </w:rPr>
        <w:t xml:space="preserve">ответственному исполнителю департаменту жилищно-коммунального хозяйства администрации города планируется уменьшить объём финансирования за </w:t>
      </w:r>
      <w:r w:rsidR="00227C4B">
        <w:rPr>
          <w:sz w:val="28"/>
        </w:rPr>
        <w:t xml:space="preserve">счёт средств местного бюджета </w:t>
      </w:r>
      <w:r w:rsidR="00C437B7">
        <w:rPr>
          <w:sz w:val="28"/>
        </w:rPr>
        <w:t>в 2019 году</w:t>
      </w:r>
      <w:r w:rsidR="00101BF5" w:rsidRPr="00101BF5">
        <w:rPr>
          <w:sz w:val="28"/>
        </w:rPr>
        <w:t xml:space="preserve"> </w:t>
      </w:r>
      <w:r w:rsidR="00227C4B" w:rsidRPr="00227C4B">
        <w:rPr>
          <w:sz w:val="28"/>
        </w:rPr>
        <w:t>с мероприятий по сносу непригодного жилья, в связи с образовавшейся экономией по итогам проведённых конкурсных процедур</w:t>
      </w:r>
      <w:r w:rsidR="00227C4B">
        <w:rPr>
          <w:sz w:val="28"/>
        </w:rPr>
        <w:t xml:space="preserve"> </w:t>
      </w:r>
      <w:r w:rsidR="00101BF5" w:rsidRPr="00101BF5">
        <w:rPr>
          <w:sz w:val="28"/>
        </w:rPr>
        <w:t xml:space="preserve">в сумме </w:t>
      </w:r>
      <w:r w:rsidR="00227C4B">
        <w:rPr>
          <w:sz w:val="28"/>
        </w:rPr>
        <w:t>1 160,158</w:t>
      </w:r>
      <w:r w:rsidR="00101BF5" w:rsidRPr="00101BF5">
        <w:rPr>
          <w:sz w:val="28"/>
        </w:rPr>
        <w:t xml:space="preserve"> тыс. рублей</w:t>
      </w:r>
      <w:r w:rsidR="00227C4B">
        <w:rPr>
          <w:sz w:val="28"/>
        </w:rPr>
        <w:t xml:space="preserve"> и перераспределить:</w:t>
      </w:r>
    </w:p>
    <w:p w:rsidR="00442D33" w:rsidRDefault="00227C4B" w:rsidP="00A93A0E">
      <w:pPr>
        <w:tabs>
          <w:tab w:val="left" w:pos="1276"/>
        </w:tabs>
        <w:spacing w:line="247" w:lineRule="auto"/>
        <w:ind w:firstLine="567"/>
        <w:jc w:val="both"/>
        <w:rPr>
          <w:sz w:val="28"/>
        </w:rPr>
      </w:pPr>
      <w:r>
        <w:rPr>
          <w:sz w:val="28"/>
        </w:rPr>
        <w:t>- на основное мероприятие «</w:t>
      </w:r>
      <w:r w:rsidRPr="00227C4B">
        <w:rPr>
          <w:sz w:val="28"/>
        </w:rPr>
        <w:t>Благоустройство и озеленение города</w:t>
      </w:r>
      <w:r>
        <w:rPr>
          <w:sz w:val="28"/>
        </w:rPr>
        <w:t>»</w:t>
      </w:r>
      <w:r w:rsidRPr="00227C4B">
        <w:rPr>
          <w:sz w:val="28"/>
        </w:rPr>
        <w:t xml:space="preserve"> </w:t>
      </w:r>
      <w:r w:rsidR="00101BF5" w:rsidRPr="00101BF5">
        <w:rPr>
          <w:sz w:val="28"/>
        </w:rPr>
        <w:t>изготовление и установку памятных и мемориальных знаков на фасадах многоквартирных домов в сумме 694</w:t>
      </w:r>
      <w:r w:rsidR="00D8766C">
        <w:rPr>
          <w:sz w:val="28"/>
        </w:rPr>
        <w:t>,</w:t>
      </w:r>
      <w:r w:rsidR="00101BF5" w:rsidRPr="00101BF5">
        <w:rPr>
          <w:sz w:val="28"/>
        </w:rPr>
        <w:t>170</w:t>
      </w:r>
      <w:r w:rsidR="00D8766C">
        <w:rPr>
          <w:sz w:val="28"/>
        </w:rPr>
        <w:t xml:space="preserve"> тыс.</w:t>
      </w:r>
      <w:r w:rsidR="00101BF5" w:rsidRPr="00101BF5">
        <w:rPr>
          <w:sz w:val="28"/>
        </w:rPr>
        <w:t xml:space="preserve"> рублей</w:t>
      </w:r>
      <w:r w:rsidR="00D8766C">
        <w:rPr>
          <w:sz w:val="28"/>
        </w:rPr>
        <w:t>;</w:t>
      </w:r>
    </w:p>
    <w:p w:rsidR="00442D33" w:rsidRDefault="00D8766C" w:rsidP="00A93A0E">
      <w:pPr>
        <w:tabs>
          <w:tab w:val="left" w:pos="1276"/>
        </w:tabs>
        <w:spacing w:line="247" w:lineRule="auto"/>
        <w:ind w:firstLine="567"/>
        <w:jc w:val="both"/>
        <w:rPr>
          <w:sz w:val="28"/>
        </w:rPr>
      </w:pPr>
      <w:r>
        <w:rPr>
          <w:sz w:val="28"/>
        </w:rPr>
        <w:t>- на частичную оплату</w:t>
      </w:r>
      <w:r w:rsidRPr="00D8766C">
        <w:rPr>
          <w:sz w:val="28"/>
        </w:rPr>
        <w:t xml:space="preserve"> исполнительного листа серии ФС № 030771198 от 22.07.2019 (Решение арбитражного суда Ханты-Мансийского автономного округа - Югры по делу № А75-6087/2019 от 04.06.2019) в пользу НГ МУП «Универсал Сервис» по делу о взыскании задолженности по ремонту внутриквартальных проездов </w:t>
      </w:r>
      <w:r>
        <w:rPr>
          <w:sz w:val="28"/>
        </w:rPr>
        <w:t xml:space="preserve">в сумме </w:t>
      </w:r>
      <w:r w:rsidRPr="00D8766C">
        <w:rPr>
          <w:sz w:val="28"/>
        </w:rPr>
        <w:t>465</w:t>
      </w:r>
      <w:r>
        <w:rPr>
          <w:sz w:val="28"/>
        </w:rPr>
        <w:t>,</w:t>
      </w:r>
      <w:r w:rsidRPr="00D8766C">
        <w:rPr>
          <w:sz w:val="28"/>
        </w:rPr>
        <w:t>988</w:t>
      </w:r>
      <w:r>
        <w:rPr>
          <w:sz w:val="28"/>
        </w:rPr>
        <w:t xml:space="preserve"> тыс.</w:t>
      </w:r>
      <w:r w:rsidRPr="00D8766C">
        <w:rPr>
          <w:sz w:val="28"/>
        </w:rPr>
        <w:t xml:space="preserve"> рублей.</w:t>
      </w:r>
    </w:p>
    <w:p w:rsidR="00533E3F" w:rsidRDefault="009163AE" w:rsidP="00A93A0E">
      <w:pPr>
        <w:tabs>
          <w:tab w:val="left" w:pos="1276"/>
        </w:tabs>
        <w:spacing w:line="247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2.4. </w:t>
      </w:r>
      <w:r w:rsidR="00D2014E">
        <w:rPr>
          <w:sz w:val="28"/>
        </w:rPr>
        <w:t xml:space="preserve">По </w:t>
      </w:r>
      <w:r w:rsidR="00442D33">
        <w:rPr>
          <w:sz w:val="28"/>
        </w:rPr>
        <w:t>основному</w:t>
      </w:r>
      <w:r w:rsidR="00D2014E">
        <w:rPr>
          <w:sz w:val="28"/>
        </w:rPr>
        <w:t xml:space="preserve"> мероприятию «Реализация энергосберегающих мероприятий в муниципальном секторе»</w:t>
      </w:r>
      <w:r w:rsidR="00D2014E">
        <w:t xml:space="preserve"> </w:t>
      </w:r>
      <w:r w:rsidR="00D2014E">
        <w:rPr>
          <w:sz w:val="28"/>
        </w:rPr>
        <w:t xml:space="preserve">планируется увеличить объём финансирования </w:t>
      </w:r>
      <w:r w:rsidR="00C437B7">
        <w:rPr>
          <w:sz w:val="28"/>
        </w:rPr>
        <w:t xml:space="preserve">в 2019 году за счёт средств местного бюджета </w:t>
      </w:r>
      <w:r>
        <w:rPr>
          <w:sz w:val="28"/>
        </w:rPr>
        <w:t xml:space="preserve">соисполнителю </w:t>
      </w:r>
      <w:r w:rsidR="00D2014E">
        <w:rPr>
          <w:sz w:val="28"/>
        </w:rPr>
        <w:t>департаменту образования и молодёжной политики администрации города Нефтеюганска</w:t>
      </w:r>
      <w:r w:rsidRPr="009163AE">
        <w:rPr>
          <w:sz w:val="28"/>
        </w:rPr>
        <w:t xml:space="preserve"> </w:t>
      </w:r>
      <w:r w:rsidR="00D2014E">
        <w:rPr>
          <w:sz w:val="28"/>
        </w:rPr>
        <w:t>МБОУ «</w:t>
      </w:r>
      <w:r>
        <w:rPr>
          <w:sz w:val="28"/>
        </w:rPr>
        <w:t>Лицей</w:t>
      </w:r>
      <w:r w:rsidR="00D2014E">
        <w:rPr>
          <w:sz w:val="28"/>
        </w:rPr>
        <w:t xml:space="preserve"> № 1» для приобретения светодиодных светильников на сумму </w:t>
      </w:r>
      <w:r>
        <w:rPr>
          <w:sz w:val="28"/>
        </w:rPr>
        <w:t>320,600</w:t>
      </w:r>
      <w:r w:rsidR="00D2014E">
        <w:rPr>
          <w:sz w:val="28"/>
        </w:rPr>
        <w:t xml:space="preserve"> тыс. рублей.</w:t>
      </w:r>
    </w:p>
    <w:p w:rsidR="00C437B7" w:rsidRDefault="001D4532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2.5</w:t>
      </w:r>
      <w:r w:rsidR="00D2014E">
        <w:rPr>
          <w:sz w:val="28"/>
        </w:rPr>
        <w:t xml:space="preserve">. </w:t>
      </w:r>
      <w:bookmarkStart w:id="0" w:name="_Hlk21340704"/>
      <w:r w:rsidR="00D2014E">
        <w:rPr>
          <w:sz w:val="28"/>
        </w:rPr>
        <w:t xml:space="preserve">По </w:t>
      </w:r>
      <w:r w:rsidR="00073788">
        <w:rPr>
          <w:sz w:val="28"/>
        </w:rPr>
        <w:t xml:space="preserve">основному </w:t>
      </w:r>
      <w:r w:rsidR="00D2014E">
        <w:rPr>
          <w:sz w:val="28"/>
        </w:rPr>
        <w:t>мероприятию «</w:t>
      </w:r>
      <w:bookmarkEnd w:id="0"/>
      <w:r w:rsidR="00D2014E">
        <w:rPr>
          <w:sz w:val="28"/>
        </w:rPr>
        <w:t xml:space="preserve">Улучшение санитарного состояния городских территорий» </w:t>
      </w:r>
      <w:r w:rsidR="00C437B7">
        <w:rPr>
          <w:sz w:val="28"/>
        </w:rPr>
        <w:t xml:space="preserve">ответственному исполнителю </w:t>
      </w:r>
      <w:r w:rsidR="00D2014E">
        <w:rPr>
          <w:sz w:val="28"/>
        </w:rPr>
        <w:t xml:space="preserve">департаменту жилищно-коммунального хозяйства администрации города увеличить бюджетные ассигнования в 2019 году на сумму </w:t>
      </w:r>
      <w:r w:rsidR="00C437B7" w:rsidRPr="00C437B7">
        <w:rPr>
          <w:sz w:val="28"/>
        </w:rPr>
        <w:t>3 589,000</w:t>
      </w:r>
      <w:r w:rsidR="00C437B7">
        <w:rPr>
          <w:sz w:val="28"/>
        </w:rPr>
        <w:t xml:space="preserve"> </w:t>
      </w:r>
      <w:r w:rsidR="00D2014E">
        <w:rPr>
          <w:sz w:val="28"/>
        </w:rPr>
        <w:t>тыс. рублей</w:t>
      </w:r>
      <w:r w:rsidR="00C437B7">
        <w:rPr>
          <w:sz w:val="28"/>
        </w:rPr>
        <w:t>:</w:t>
      </w:r>
    </w:p>
    <w:p w:rsidR="00C437B7" w:rsidRDefault="00C437B7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2014E">
        <w:rPr>
          <w:sz w:val="28"/>
        </w:rPr>
        <w:t>за счёт средств автономного округа</w:t>
      </w:r>
      <w:r>
        <w:rPr>
          <w:sz w:val="28"/>
        </w:rPr>
        <w:t xml:space="preserve"> (</w:t>
      </w:r>
      <w:r w:rsidRPr="00C437B7">
        <w:rPr>
          <w:sz w:val="28"/>
        </w:rPr>
        <w:t>ины</w:t>
      </w:r>
      <w:r>
        <w:rPr>
          <w:sz w:val="28"/>
        </w:rPr>
        <w:t>е</w:t>
      </w:r>
      <w:r w:rsidRPr="00C437B7">
        <w:rPr>
          <w:sz w:val="28"/>
        </w:rPr>
        <w:t xml:space="preserve"> межбюджетны</w:t>
      </w:r>
      <w:r>
        <w:rPr>
          <w:sz w:val="28"/>
        </w:rPr>
        <w:t>е</w:t>
      </w:r>
      <w:r w:rsidRPr="00C437B7">
        <w:rPr>
          <w:sz w:val="28"/>
        </w:rPr>
        <w:t xml:space="preserve"> трансферт</w:t>
      </w:r>
      <w:r>
        <w:rPr>
          <w:sz w:val="28"/>
        </w:rPr>
        <w:t>ы</w:t>
      </w:r>
      <w:r w:rsidRPr="00C437B7">
        <w:rPr>
          <w:sz w:val="28"/>
        </w:rPr>
        <w:t xml:space="preserve"> средств резервного фонда Правительства Ханты-Мансийского автономного округа </w:t>
      </w:r>
      <w:r>
        <w:rPr>
          <w:sz w:val="28"/>
        </w:rPr>
        <w:t>–</w:t>
      </w:r>
      <w:r w:rsidRPr="00C437B7">
        <w:rPr>
          <w:sz w:val="28"/>
        </w:rPr>
        <w:t xml:space="preserve"> Югры</w:t>
      </w:r>
      <w:r>
        <w:rPr>
          <w:sz w:val="28"/>
        </w:rPr>
        <w:t xml:space="preserve">) </w:t>
      </w:r>
      <w:r w:rsidRPr="00C437B7">
        <w:rPr>
          <w:sz w:val="28"/>
        </w:rPr>
        <w:t>на обустройство мест (площадок) накопления твёрдых коммунальных отходов в сумме 989</w:t>
      </w:r>
      <w:r>
        <w:rPr>
          <w:sz w:val="28"/>
        </w:rPr>
        <w:t>,</w:t>
      </w:r>
      <w:r w:rsidRPr="00C437B7">
        <w:rPr>
          <w:sz w:val="28"/>
        </w:rPr>
        <w:t>000</w:t>
      </w:r>
      <w:r>
        <w:rPr>
          <w:sz w:val="28"/>
        </w:rPr>
        <w:t xml:space="preserve"> тыс.</w:t>
      </w:r>
      <w:r w:rsidRPr="00C437B7">
        <w:rPr>
          <w:sz w:val="28"/>
        </w:rPr>
        <w:t xml:space="preserve"> рублей</w:t>
      </w:r>
      <w:r w:rsidR="001E6C40">
        <w:rPr>
          <w:sz w:val="28"/>
        </w:rPr>
        <w:t>;</w:t>
      </w:r>
    </w:p>
    <w:p w:rsidR="00C437B7" w:rsidRDefault="00C437B7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за счёт средств местного бюджета</w:t>
      </w:r>
      <w:r w:rsidR="001E6C40">
        <w:rPr>
          <w:sz w:val="28"/>
        </w:rPr>
        <w:t xml:space="preserve"> в сумме 2 600,000 тыс. рублей, в том числе:</w:t>
      </w:r>
    </w:p>
    <w:p w:rsidR="001E6C40" w:rsidRDefault="00AE28BC" w:rsidP="00A93A0E">
      <w:pPr>
        <w:pStyle w:val="aff"/>
        <w:numPr>
          <w:ilvl w:val="0"/>
          <w:numId w:val="1"/>
        </w:numPr>
        <w:tabs>
          <w:tab w:val="left" w:pos="851"/>
        </w:tabs>
        <w:spacing w:line="247" w:lineRule="auto"/>
        <w:ind w:left="0" w:firstLine="567"/>
        <w:jc w:val="both"/>
        <w:rPr>
          <w:sz w:val="28"/>
        </w:rPr>
      </w:pPr>
      <w:r>
        <w:rPr>
          <w:sz w:val="28"/>
        </w:rPr>
        <w:t>на механизированную уборку снега в сумме 1 100,000 тыс. рублей;</w:t>
      </w:r>
    </w:p>
    <w:p w:rsidR="00AE28BC" w:rsidRPr="00AE28BC" w:rsidRDefault="00AE28BC" w:rsidP="00A93A0E">
      <w:pPr>
        <w:pStyle w:val="aff"/>
        <w:numPr>
          <w:ilvl w:val="0"/>
          <w:numId w:val="1"/>
        </w:numPr>
        <w:tabs>
          <w:tab w:val="left" w:pos="851"/>
        </w:tabs>
        <w:spacing w:line="247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на услугу </w:t>
      </w:r>
      <w:r w:rsidR="001D4532">
        <w:rPr>
          <w:sz w:val="28"/>
        </w:rPr>
        <w:t>по приему и складированию снежных масс в сумме 1 500,000 тыс. рублей.</w:t>
      </w:r>
    </w:p>
    <w:p w:rsidR="00EB6B07" w:rsidRDefault="00CB2449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В составе экономического обоснования расходов</w:t>
      </w:r>
      <w:r w:rsidR="00EB6B07">
        <w:rPr>
          <w:sz w:val="28"/>
        </w:rPr>
        <w:t>:</w:t>
      </w:r>
    </w:p>
    <w:p w:rsidR="00CB2449" w:rsidRDefault="00EB6B07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по</w:t>
      </w:r>
      <w:r w:rsidR="00CB2449">
        <w:rPr>
          <w:sz w:val="28"/>
        </w:rPr>
        <w:t xml:space="preserve"> </w:t>
      </w:r>
      <w:r w:rsidR="00CB2449" w:rsidRPr="00CB2449">
        <w:rPr>
          <w:sz w:val="28"/>
        </w:rPr>
        <w:t>механизированн</w:t>
      </w:r>
      <w:r>
        <w:rPr>
          <w:sz w:val="28"/>
        </w:rPr>
        <w:t>ой</w:t>
      </w:r>
      <w:r w:rsidR="00CB2449" w:rsidRPr="00CB2449">
        <w:rPr>
          <w:sz w:val="28"/>
        </w:rPr>
        <w:t xml:space="preserve"> уборк</w:t>
      </w:r>
      <w:r>
        <w:rPr>
          <w:sz w:val="28"/>
        </w:rPr>
        <w:t>е</w:t>
      </w:r>
      <w:r w:rsidR="00CB2449" w:rsidRPr="00CB2449">
        <w:rPr>
          <w:sz w:val="28"/>
        </w:rPr>
        <w:t xml:space="preserve"> снега </w:t>
      </w:r>
      <w:r w:rsidR="00CB2449">
        <w:rPr>
          <w:sz w:val="28"/>
        </w:rPr>
        <w:t xml:space="preserve">поступили коммерческие предложения </w:t>
      </w:r>
      <w:r w:rsidR="00F06EAA">
        <w:rPr>
          <w:sz w:val="28"/>
        </w:rPr>
        <w:t>на уборку</w:t>
      </w:r>
      <w:r w:rsidR="00CB2449">
        <w:rPr>
          <w:sz w:val="28"/>
        </w:rPr>
        <w:t xml:space="preserve"> снега с микрорайонов города </w:t>
      </w:r>
      <w:r w:rsidR="00F06EAA">
        <w:rPr>
          <w:sz w:val="28"/>
        </w:rPr>
        <w:t xml:space="preserve">в </w:t>
      </w:r>
      <w:r w:rsidR="005F23F6">
        <w:rPr>
          <w:sz w:val="28"/>
        </w:rPr>
        <w:t xml:space="preserve">период </w:t>
      </w:r>
      <w:r w:rsidR="00CB2449">
        <w:rPr>
          <w:sz w:val="28"/>
        </w:rPr>
        <w:t>с 10.11.2019 по 31.12.2019 года на среднюю сумму 12</w:t>
      </w:r>
      <w:r>
        <w:rPr>
          <w:sz w:val="28"/>
        </w:rPr>
        <w:t> </w:t>
      </w:r>
      <w:r w:rsidR="00CB2449">
        <w:rPr>
          <w:sz w:val="28"/>
        </w:rPr>
        <w:t>877</w:t>
      </w:r>
      <w:r>
        <w:rPr>
          <w:sz w:val="28"/>
        </w:rPr>
        <w:t>,413</w:t>
      </w:r>
      <w:r w:rsidR="00CB2449">
        <w:rPr>
          <w:sz w:val="28"/>
        </w:rPr>
        <w:t>76</w:t>
      </w:r>
      <w:r>
        <w:rPr>
          <w:sz w:val="28"/>
        </w:rPr>
        <w:t xml:space="preserve"> тыс. рублей.</w:t>
      </w:r>
      <w:r w:rsidR="00CB2449">
        <w:rPr>
          <w:sz w:val="28"/>
        </w:rPr>
        <w:t xml:space="preserve"> </w:t>
      </w:r>
      <w:r>
        <w:rPr>
          <w:sz w:val="28"/>
        </w:rPr>
        <w:t>Согласно пояснительной записке остаток неиспользованных бюджетных ассигнований составляет 11 860,000 тыс. рублей, фактическая потребность до конца года 12 960,000 тыс. рублей;</w:t>
      </w:r>
    </w:p>
    <w:p w:rsidR="00EB6B07" w:rsidRPr="00EB6B07" w:rsidRDefault="00EB6B07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154CF">
        <w:rPr>
          <w:sz w:val="28"/>
        </w:rPr>
        <w:t xml:space="preserve">по </w:t>
      </w:r>
      <w:r w:rsidR="003154CF" w:rsidRPr="003154CF">
        <w:rPr>
          <w:sz w:val="28"/>
        </w:rPr>
        <w:t>услуг</w:t>
      </w:r>
      <w:r w:rsidR="003154CF">
        <w:rPr>
          <w:sz w:val="28"/>
        </w:rPr>
        <w:t>ам</w:t>
      </w:r>
      <w:r w:rsidR="003154CF" w:rsidRPr="003154CF">
        <w:rPr>
          <w:sz w:val="28"/>
        </w:rPr>
        <w:t xml:space="preserve"> по приему и складированию снежных масс</w:t>
      </w:r>
      <w:r w:rsidR="003154CF">
        <w:rPr>
          <w:sz w:val="28"/>
        </w:rPr>
        <w:t xml:space="preserve"> поступил сводный сметный расчёт на сумму </w:t>
      </w:r>
      <w:r w:rsidR="00991A56">
        <w:rPr>
          <w:sz w:val="28"/>
        </w:rPr>
        <w:t>3 283,512</w:t>
      </w:r>
      <w:r w:rsidR="003154CF">
        <w:rPr>
          <w:sz w:val="28"/>
        </w:rPr>
        <w:t xml:space="preserve"> тыс.</w:t>
      </w:r>
      <w:r w:rsidR="00991A56">
        <w:rPr>
          <w:sz w:val="28"/>
        </w:rPr>
        <w:t xml:space="preserve"> </w:t>
      </w:r>
      <w:r w:rsidR="003154CF">
        <w:rPr>
          <w:sz w:val="28"/>
        </w:rPr>
        <w:t xml:space="preserve">рублей. </w:t>
      </w:r>
      <w:r w:rsidR="001D09FC" w:rsidRPr="001D09FC">
        <w:rPr>
          <w:sz w:val="28"/>
        </w:rPr>
        <w:t xml:space="preserve">Согласно пояснительной записке остаток неиспользованных бюджетных ассигнований составляет </w:t>
      </w:r>
      <w:r w:rsidR="001D09FC">
        <w:rPr>
          <w:sz w:val="28"/>
        </w:rPr>
        <w:t>1 968,87440</w:t>
      </w:r>
      <w:r w:rsidR="001D09FC" w:rsidRPr="001D09FC">
        <w:rPr>
          <w:sz w:val="28"/>
        </w:rPr>
        <w:t xml:space="preserve"> тыс. рублей</w:t>
      </w:r>
      <w:r w:rsidR="001D09FC">
        <w:rPr>
          <w:sz w:val="28"/>
        </w:rPr>
        <w:t xml:space="preserve"> (из них 185,633 тыс. </w:t>
      </w:r>
      <w:r w:rsidR="00844337">
        <w:rPr>
          <w:sz w:val="28"/>
        </w:rPr>
        <w:t>рублей будет произведена оплата за летнее содержание полигона в летнее время)</w:t>
      </w:r>
      <w:r w:rsidR="001D09FC" w:rsidRPr="001D09FC">
        <w:rPr>
          <w:sz w:val="28"/>
        </w:rPr>
        <w:t xml:space="preserve">, фактическая потребность до конца года </w:t>
      </w:r>
      <w:r w:rsidR="00844337">
        <w:rPr>
          <w:sz w:val="28"/>
        </w:rPr>
        <w:t>3 284,000</w:t>
      </w:r>
      <w:r w:rsidR="001D09FC" w:rsidRPr="001D09FC">
        <w:rPr>
          <w:sz w:val="28"/>
        </w:rPr>
        <w:t xml:space="preserve"> тыс. рублей</w:t>
      </w:r>
      <w:r w:rsidR="00844337">
        <w:rPr>
          <w:sz w:val="28"/>
        </w:rPr>
        <w:t>.</w:t>
      </w:r>
    </w:p>
    <w:p w:rsidR="001D4532" w:rsidRDefault="001D4532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>.</w:t>
      </w:r>
      <w:r>
        <w:rPr>
          <w:sz w:val="28"/>
        </w:rPr>
        <w:t>6.</w:t>
      </w:r>
      <w:r w:rsidR="00D2014E">
        <w:rPr>
          <w:sz w:val="28"/>
        </w:rPr>
        <w:t xml:space="preserve"> </w:t>
      </w:r>
      <w:r w:rsidR="00073788" w:rsidRPr="00073788">
        <w:rPr>
          <w:sz w:val="28"/>
        </w:rPr>
        <w:t>По основному мероприятию «Благоустройство и озеленение города</w:t>
      </w:r>
      <w:r w:rsidR="00073788">
        <w:rPr>
          <w:sz w:val="28"/>
        </w:rPr>
        <w:t xml:space="preserve">» </w:t>
      </w:r>
      <w:r w:rsidR="00E623E9" w:rsidRPr="00E623E9">
        <w:rPr>
          <w:sz w:val="28"/>
        </w:rPr>
        <w:t xml:space="preserve">ответственному исполнителю департаменту жилищно-коммунального хозяйства администрации города </w:t>
      </w:r>
      <w:r w:rsidR="007F58A9">
        <w:rPr>
          <w:sz w:val="28"/>
        </w:rPr>
        <w:t xml:space="preserve">планируется </w:t>
      </w:r>
      <w:r w:rsidR="00E623E9" w:rsidRPr="00E623E9">
        <w:rPr>
          <w:sz w:val="28"/>
        </w:rPr>
        <w:t>у</w:t>
      </w:r>
      <w:r w:rsidR="00E623E9">
        <w:rPr>
          <w:sz w:val="28"/>
        </w:rPr>
        <w:t>меньшить</w:t>
      </w:r>
      <w:r w:rsidR="00E623E9" w:rsidRPr="00E623E9">
        <w:rPr>
          <w:sz w:val="28"/>
        </w:rPr>
        <w:t xml:space="preserve"> бюджетные ассигнования в 2019 году на сумму 1 343,613 тыс. рублей</w:t>
      </w:r>
      <w:r w:rsidR="007F58A9">
        <w:rPr>
          <w:sz w:val="28"/>
        </w:rPr>
        <w:t>, за счёт</w:t>
      </w:r>
      <w:r w:rsidR="00B455F2">
        <w:rPr>
          <w:sz w:val="28"/>
        </w:rPr>
        <w:t>:</w:t>
      </w:r>
      <w:r w:rsidR="007F58A9">
        <w:rPr>
          <w:sz w:val="28"/>
        </w:rPr>
        <w:t xml:space="preserve"> </w:t>
      </w:r>
    </w:p>
    <w:p w:rsidR="00073788" w:rsidRDefault="00A121CD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F58A9">
        <w:rPr>
          <w:sz w:val="28"/>
        </w:rPr>
        <w:t>умень</w:t>
      </w:r>
      <w:r w:rsidR="00B455F2">
        <w:rPr>
          <w:sz w:val="28"/>
        </w:rPr>
        <w:t>шения</w:t>
      </w:r>
      <w:r w:rsidR="007F58A9">
        <w:rPr>
          <w:sz w:val="28"/>
        </w:rPr>
        <w:t xml:space="preserve"> бюджетны</w:t>
      </w:r>
      <w:r w:rsidR="00B455F2">
        <w:rPr>
          <w:sz w:val="28"/>
        </w:rPr>
        <w:t>х</w:t>
      </w:r>
      <w:r w:rsidR="007F58A9">
        <w:rPr>
          <w:sz w:val="28"/>
        </w:rPr>
        <w:t xml:space="preserve"> ассигновани</w:t>
      </w:r>
      <w:r w:rsidR="00B455F2">
        <w:rPr>
          <w:sz w:val="28"/>
        </w:rPr>
        <w:t>й</w:t>
      </w:r>
      <w:r w:rsidR="007F58A9">
        <w:rPr>
          <w:sz w:val="28"/>
        </w:rPr>
        <w:t xml:space="preserve"> </w:t>
      </w:r>
      <w:r w:rsidRPr="00A121CD">
        <w:rPr>
          <w:sz w:val="28"/>
        </w:rPr>
        <w:t xml:space="preserve">с мероприятий по озеленению мест общего пользования в связи с образовавшейся экономией по результатам проведённых торгов </w:t>
      </w:r>
      <w:r w:rsidR="007F58A9">
        <w:rPr>
          <w:sz w:val="28"/>
        </w:rPr>
        <w:t xml:space="preserve">и передать на реализацию </w:t>
      </w:r>
      <w:r w:rsidR="007F58A9" w:rsidRPr="007F58A9">
        <w:rPr>
          <w:sz w:val="28"/>
        </w:rPr>
        <w:t>основно</w:t>
      </w:r>
      <w:r w:rsidR="007F58A9">
        <w:rPr>
          <w:sz w:val="28"/>
        </w:rPr>
        <w:t>го</w:t>
      </w:r>
      <w:r w:rsidR="007F58A9" w:rsidRPr="007F58A9">
        <w:rPr>
          <w:sz w:val="28"/>
        </w:rPr>
        <w:t xml:space="preserve"> мероприяти</w:t>
      </w:r>
      <w:r w:rsidR="007F58A9">
        <w:rPr>
          <w:sz w:val="28"/>
        </w:rPr>
        <w:t xml:space="preserve">я </w:t>
      </w:r>
      <w:r w:rsidR="007F58A9" w:rsidRPr="007F58A9">
        <w:rPr>
          <w:sz w:val="28"/>
        </w:rPr>
        <w:t>«Улучшение санитарного состояния городских территорий»</w:t>
      </w:r>
      <w:r w:rsidR="007F58A9">
        <w:rPr>
          <w:sz w:val="28"/>
        </w:rPr>
        <w:t xml:space="preserve"> </w:t>
      </w:r>
      <w:r w:rsidRPr="00A121CD">
        <w:rPr>
          <w:sz w:val="28"/>
        </w:rPr>
        <w:t>в сумме 2</w:t>
      </w:r>
      <w:r w:rsidR="007F58A9">
        <w:rPr>
          <w:sz w:val="28"/>
        </w:rPr>
        <w:t> </w:t>
      </w:r>
      <w:r w:rsidRPr="00A121CD">
        <w:rPr>
          <w:sz w:val="28"/>
        </w:rPr>
        <w:t>600</w:t>
      </w:r>
      <w:r w:rsidR="007F58A9">
        <w:rPr>
          <w:sz w:val="28"/>
        </w:rPr>
        <w:t>,</w:t>
      </w:r>
      <w:r w:rsidRPr="00A121CD">
        <w:rPr>
          <w:sz w:val="28"/>
        </w:rPr>
        <w:t>000</w:t>
      </w:r>
      <w:r w:rsidR="007F58A9">
        <w:rPr>
          <w:sz w:val="28"/>
        </w:rPr>
        <w:t xml:space="preserve"> тыс.</w:t>
      </w:r>
      <w:r w:rsidRPr="00A121CD">
        <w:rPr>
          <w:sz w:val="28"/>
        </w:rPr>
        <w:t xml:space="preserve"> рублей</w:t>
      </w:r>
      <w:r w:rsidR="007F58A9">
        <w:rPr>
          <w:sz w:val="28"/>
        </w:rPr>
        <w:t>;</w:t>
      </w:r>
    </w:p>
    <w:p w:rsidR="00684743" w:rsidRDefault="00830F23" w:rsidP="00A93A0E">
      <w:pPr>
        <w:spacing w:line="247" w:lineRule="auto"/>
        <w:ind w:firstLine="709"/>
        <w:jc w:val="both"/>
        <w:rPr>
          <w:sz w:val="28"/>
        </w:rPr>
      </w:pPr>
      <w:r w:rsidRPr="00830F23">
        <w:rPr>
          <w:sz w:val="28"/>
        </w:rPr>
        <w:t xml:space="preserve">- </w:t>
      </w:r>
      <w:r>
        <w:rPr>
          <w:sz w:val="28"/>
        </w:rPr>
        <w:t>увелич</w:t>
      </w:r>
      <w:r w:rsidR="00B455F2">
        <w:rPr>
          <w:sz w:val="28"/>
        </w:rPr>
        <w:t>ения</w:t>
      </w:r>
      <w:r>
        <w:rPr>
          <w:sz w:val="28"/>
        </w:rPr>
        <w:t xml:space="preserve"> бюджетны</w:t>
      </w:r>
      <w:r w:rsidR="00B455F2">
        <w:rPr>
          <w:sz w:val="28"/>
        </w:rPr>
        <w:t>х</w:t>
      </w:r>
      <w:r>
        <w:rPr>
          <w:sz w:val="28"/>
        </w:rPr>
        <w:t xml:space="preserve"> ассигновани</w:t>
      </w:r>
      <w:r w:rsidR="00B455F2">
        <w:rPr>
          <w:sz w:val="28"/>
        </w:rPr>
        <w:t>й</w:t>
      </w:r>
      <w:r>
        <w:rPr>
          <w:sz w:val="28"/>
        </w:rPr>
        <w:t xml:space="preserve"> за счёт средств местного бюджета в сумме 1 256,387 тыс. рублей, в том числе:</w:t>
      </w:r>
    </w:p>
    <w:p w:rsidR="00E623E9" w:rsidRDefault="00684743" w:rsidP="00A93A0E">
      <w:pPr>
        <w:pStyle w:val="aff"/>
        <w:numPr>
          <w:ilvl w:val="0"/>
          <w:numId w:val="1"/>
        </w:numPr>
        <w:spacing w:line="247" w:lineRule="auto"/>
        <w:ind w:left="0" w:firstLine="567"/>
        <w:jc w:val="both"/>
        <w:rPr>
          <w:sz w:val="28"/>
        </w:rPr>
      </w:pPr>
      <w:r w:rsidRPr="00684743">
        <w:rPr>
          <w:sz w:val="28"/>
        </w:rPr>
        <w:lastRenderedPageBreak/>
        <w:t>з</w:t>
      </w:r>
      <w:r w:rsidR="00E623E9" w:rsidRPr="00684743">
        <w:rPr>
          <w:sz w:val="28"/>
        </w:rPr>
        <w:t xml:space="preserve">а счёт ранее выделенных средств ООО «РН-Юганскнефтегаз» </w:t>
      </w:r>
      <w:r w:rsidR="005268C2">
        <w:rPr>
          <w:sz w:val="28"/>
        </w:rPr>
        <w:t xml:space="preserve">на </w:t>
      </w:r>
      <w:r w:rsidR="00E623E9" w:rsidRPr="00E623E9">
        <w:rPr>
          <w:sz w:val="28"/>
        </w:rPr>
        <w:t>устройство купели на Крещение в сумме 562</w:t>
      </w:r>
      <w:r w:rsidR="005268C2">
        <w:rPr>
          <w:sz w:val="28"/>
        </w:rPr>
        <w:t>,</w:t>
      </w:r>
      <w:r w:rsidR="00E623E9" w:rsidRPr="00E623E9">
        <w:rPr>
          <w:sz w:val="28"/>
        </w:rPr>
        <w:t xml:space="preserve">217 </w:t>
      </w:r>
      <w:r w:rsidR="005268C2">
        <w:rPr>
          <w:sz w:val="28"/>
        </w:rPr>
        <w:t xml:space="preserve">тыс. </w:t>
      </w:r>
      <w:r w:rsidR="00E623E9" w:rsidRPr="00E623E9">
        <w:rPr>
          <w:sz w:val="28"/>
        </w:rPr>
        <w:t>рублей</w:t>
      </w:r>
      <w:r w:rsidR="005268C2">
        <w:rPr>
          <w:sz w:val="28"/>
        </w:rPr>
        <w:t>;</w:t>
      </w:r>
    </w:p>
    <w:p w:rsidR="005268C2" w:rsidRDefault="00084896" w:rsidP="00A93A0E">
      <w:pPr>
        <w:pStyle w:val="aff"/>
        <w:numPr>
          <w:ilvl w:val="0"/>
          <w:numId w:val="1"/>
        </w:numPr>
        <w:spacing w:line="247" w:lineRule="auto"/>
        <w:ind w:left="0" w:firstLine="567"/>
        <w:jc w:val="both"/>
        <w:rPr>
          <w:sz w:val="28"/>
        </w:rPr>
      </w:pPr>
      <w:r w:rsidRPr="00084896">
        <w:rPr>
          <w:sz w:val="28"/>
        </w:rPr>
        <w:t>на изготовление и установку памятных и мемориальных знаков на фасадах многоквартирных домов в сумме 694,170 тыс. рублей.</w:t>
      </w:r>
    </w:p>
    <w:p w:rsidR="001D4532" w:rsidRDefault="001D4532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2.7.</w:t>
      </w:r>
      <w:r w:rsidR="00073788">
        <w:rPr>
          <w:sz w:val="28"/>
        </w:rPr>
        <w:t xml:space="preserve"> </w:t>
      </w:r>
      <w:r w:rsidR="00D2014E">
        <w:rPr>
          <w:sz w:val="28"/>
        </w:rPr>
        <w:t xml:space="preserve">По </w:t>
      </w:r>
      <w:r w:rsidR="00D73BBB">
        <w:rPr>
          <w:sz w:val="28"/>
        </w:rPr>
        <w:t>основному</w:t>
      </w:r>
      <w:r w:rsidR="00D2014E">
        <w:rPr>
          <w:sz w:val="28"/>
        </w:rPr>
        <w:t xml:space="preserve"> мероприятию «Федеральный проект «Формирование комфортной городской среды» </w:t>
      </w:r>
      <w:r>
        <w:rPr>
          <w:sz w:val="28"/>
        </w:rPr>
        <w:t xml:space="preserve">ответственному исполнителю </w:t>
      </w:r>
      <w:r w:rsidR="00D2014E">
        <w:rPr>
          <w:sz w:val="28"/>
        </w:rPr>
        <w:t xml:space="preserve">департаменту жилищно-коммунального хозяйства администрации города Нефтеюганска планируется уменьшить объём финансирования </w:t>
      </w:r>
      <w:r w:rsidRPr="001D4532">
        <w:rPr>
          <w:sz w:val="28"/>
        </w:rPr>
        <w:t xml:space="preserve">местного бюджета </w:t>
      </w:r>
      <w:r>
        <w:rPr>
          <w:sz w:val="28"/>
        </w:rPr>
        <w:t>(</w:t>
      </w:r>
      <w:r w:rsidRPr="001D4532">
        <w:rPr>
          <w:sz w:val="28"/>
        </w:rPr>
        <w:t>закрытие доли софинансирования</w:t>
      </w:r>
      <w:r>
        <w:rPr>
          <w:sz w:val="28"/>
        </w:rPr>
        <w:t>)</w:t>
      </w:r>
      <w:r w:rsidRPr="001D4532">
        <w:rPr>
          <w:sz w:val="28"/>
        </w:rPr>
        <w:t xml:space="preserve"> </w:t>
      </w:r>
      <w:r w:rsidR="00D73BBB">
        <w:rPr>
          <w:sz w:val="28"/>
        </w:rPr>
        <w:t xml:space="preserve">в 2019 году </w:t>
      </w:r>
      <w:r w:rsidR="00D2014E">
        <w:rPr>
          <w:sz w:val="28"/>
        </w:rPr>
        <w:t xml:space="preserve">на благоустройство общественной территории 3 микрорайона (мемориальная и культурно-досуговая зона) в рамках реализации проекта «Формирование комфортной городской среды» в связи с невыполнением работ подрядной организацией, осуществляющей подготовку проектно-сметной документации, в срок, установленный соглашением о предоставлении субсидии, </w:t>
      </w:r>
      <w:r w:rsidRPr="001D4532">
        <w:rPr>
          <w:sz w:val="28"/>
        </w:rPr>
        <w:t>в сумме 2</w:t>
      </w:r>
      <w:r>
        <w:rPr>
          <w:sz w:val="28"/>
        </w:rPr>
        <w:t> </w:t>
      </w:r>
      <w:r w:rsidRPr="001D4532">
        <w:rPr>
          <w:sz w:val="28"/>
        </w:rPr>
        <w:t>512</w:t>
      </w:r>
      <w:r>
        <w:rPr>
          <w:sz w:val="28"/>
        </w:rPr>
        <w:t>,</w:t>
      </w:r>
      <w:r w:rsidRPr="001D4532">
        <w:rPr>
          <w:sz w:val="28"/>
        </w:rPr>
        <w:t xml:space="preserve">000 </w:t>
      </w:r>
      <w:r>
        <w:rPr>
          <w:sz w:val="28"/>
        </w:rPr>
        <w:t xml:space="preserve">тыс. </w:t>
      </w:r>
      <w:r w:rsidRPr="001D4532">
        <w:rPr>
          <w:sz w:val="28"/>
        </w:rPr>
        <w:t>рублей</w:t>
      </w:r>
      <w:r>
        <w:rPr>
          <w:sz w:val="28"/>
        </w:rPr>
        <w:t>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При этом, не предусмотрены изменения в </w:t>
      </w:r>
      <w:r w:rsidR="001D4532">
        <w:rPr>
          <w:sz w:val="28"/>
        </w:rPr>
        <w:t xml:space="preserve">соответствующих </w:t>
      </w:r>
      <w:r>
        <w:rPr>
          <w:sz w:val="28"/>
        </w:rPr>
        <w:t>таблиц</w:t>
      </w:r>
      <w:r w:rsidR="001D4532">
        <w:rPr>
          <w:sz w:val="28"/>
        </w:rPr>
        <w:t>е</w:t>
      </w:r>
      <w:r>
        <w:rPr>
          <w:sz w:val="28"/>
        </w:rPr>
        <w:t xml:space="preserve"> и приложени</w:t>
      </w:r>
      <w:r w:rsidR="001D4532">
        <w:rPr>
          <w:sz w:val="28"/>
        </w:rPr>
        <w:t>и</w:t>
      </w:r>
      <w:r>
        <w:rPr>
          <w:sz w:val="28"/>
        </w:rPr>
        <w:t xml:space="preserve"> муниципальной программы. </w:t>
      </w:r>
    </w:p>
    <w:p w:rsidR="001D4532" w:rsidRDefault="001D4532" w:rsidP="00A93A0E">
      <w:pPr>
        <w:spacing w:line="247" w:lineRule="auto"/>
        <w:ind w:firstLine="709"/>
        <w:jc w:val="both"/>
        <w:rPr>
          <w:sz w:val="28"/>
        </w:rPr>
      </w:pPr>
      <w:r w:rsidRPr="001D4532">
        <w:rPr>
          <w:sz w:val="28"/>
        </w:rPr>
        <w:t>Рекомендуем внести соответствующие изменения в проект изменений.</w:t>
      </w:r>
    </w:p>
    <w:p w:rsidR="001D4532" w:rsidRDefault="001D4532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Данные бюджетные ассигнования планируется перераспределить </w:t>
      </w:r>
      <w:r w:rsidRPr="001D4532">
        <w:rPr>
          <w:sz w:val="28"/>
        </w:rPr>
        <w:t>на частичную оплату исполнительного листа серии ФС № 030771198 от 22.07.2019 (Решение арбитражного суда Ханты-Мансийского автономного округа - Югры по делу № А75-6087/2019 от 04.06.2019) в пользу НГ МУП «Универсал Сервис» по делу о взыскании задолженности по ремонту внутриквартальных 2 512,000 тыс. рублей.</w:t>
      </w:r>
    </w:p>
    <w:p w:rsidR="001D4532" w:rsidRDefault="001D4532" w:rsidP="00A93A0E">
      <w:pPr>
        <w:spacing w:line="247" w:lineRule="auto"/>
        <w:ind w:firstLine="567"/>
        <w:jc w:val="both"/>
        <w:rPr>
          <w:sz w:val="28"/>
        </w:rPr>
      </w:pPr>
      <w:r>
        <w:rPr>
          <w:sz w:val="28"/>
        </w:rPr>
        <w:t>2.7</w:t>
      </w:r>
      <w:r w:rsidR="00D2014E">
        <w:rPr>
          <w:sz w:val="28"/>
        </w:rPr>
        <w:t xml:space="preserve">. </w:t>
      </w:r>
      <w:r w:rsidR="00D73BBB">
        <w:rPr>
          <w:sz w:val="28"/>
        </w:rPr>
        <w:t>По</w:t>
      </w:r>
      <w:r w:rsidR="00D73BBB" w:rsidRPr="00D73BBB">
        <w:rPr>
          <w:sz w:val="28"/>
        </w:rPr>
        <w:t xml:space="preserve"> </w:t>
      </w:r>
      <w:r w:rsidR="00D73BBB">
        <w:rPr>
          <w:sz w:val="28"/>
        </w:rPr>
        <w:t>основному</w:t>
      </w:r>
      <w:r w:rsidR="00D73BBB" w:rsidRPr="00D73BBB">
        <w:rPr>
          <w:sz w:val="28"/>
        </w:rPr>
        <w:t xml:space="preserve"> мероприяти</w:t>
      </w:r>
      <w:r w:rsidR="00D73BBB">
        <w:rPr>
          <w:sz w:val="28"/>
        </w:rPr>
        <w:t>ю</w:t>
      </w:r>
      <w:r w:rsidR="00D73BBB" w:rsidRPr="00D73BBB">
        <w:rPr>
          <w:sz w:val="28"/>
        </w:rPr>
        <w:t xml:space="preserve"> «Организационное обеспечение функционирования отрасли» </w:t>
      </w:r>
      <w:r w:rsidR="00D73BBB">
        <w:rPr>
          <w:sz w:val="28"/>
        </w:rPr>
        <w:t xml:space="preserve">ответственному исполнителю департаменту жилищно-коммунального хозяйства администрации города Нефтеюганска уменьшение средств местного бюджета в 2019 года </w:t>
      </w:r>
      <w:r w:rsidR="00D73BBB" w:rsidRPr="00D73BBB">
        <w:rPr>
          <w:sz w:val="28"/>
        </w:rPr>
        <w:t>в связи с необоснованным увеличением средств по фонду заработной платы и начислений на выплаты по оплате труда по расходам НГ МУП «Реквием» в сумме 79</w:t>
      </w:r>
      <w:r w:rsidR="00D73BBB">
        <w:rPr>
          <w:sz w:val="28"/>
        </w:rPr>
        <w:t>,</w:t>
      </w:r>
      <w:r w:rsidR="00D73BBB" w:rsidRPr="00D73BBB">
        <w:rPr>
          <w:sz w:val="28"/>
        </w:rPr>
        <w:t>234</w:t>
      </w:r>
      <w:r w:rsidR="00D73BBB">
        <w:rPr>
          <w:sz w:val="28"/>
        </w:rPr>
        <w:t xml:space="preserve"> тыс.</w:t>
      </w:r>
      <w:r w:rsidR="00D73BBB" w:rsidRPr="00D73BBB">
        <w:rPr>
          <w:sz w:val="28"/>
        </w:rPr>
        <w:t xml:space="preserve"> рубля.</w:t>
      </w:r>
    </w:p>
    <w:p w:rsidR="001D4532" w:rsidRDefault="00BA4B1C" w:rsidP="00A93A0E">
      <w:pPr>
        <w:spacing w:line="247" w:lineRule="auto"/>
        <w:ind w:firstLine="567"/>
        <w:jc w:val="both"/>
        <w:rPr>
          <w:sz w:val="28"/>
        </w:rPr>
      </w:pPr>
      <w:r>
        <w:rPr>
          <w:sz w:val="28"/>
        </w:rPr>
        <w:t xml:space="preserve">2.8. </w:t>
      </w:r>
      <w:r w:rsidR="00820AB7">
        <w:rPr>
          <w:sz w:val="28"/>
        </w:rPr>
        <w:t>По основному мероприятию «</w:t>
      </w:r>
      <w:r w:rsidR="00820AB7" w:rsidRPr="00820AB7">
        <w:rPr>
          <w:sz w:val="28"/>
        </w:rPr>
        <w:t>Возмещение недополученных доходов юридическим лицам в связи с оказанием услуг по погребению согласно гарантированному перечню услуг по погребению, не возмещаемых за сч</w:t>
      </w:r>
      <w:r w:rsidR="00A46C5B">
        <w:rPr>
          <w:sz w:val="28"/>
        </w:rPr>
        <w:t>ё</w:t>
      </w:r>
      <w:r w:rsidR="00820AB7" w:rsidRPr="00820AB7">
        <w:rPr>
          <w:sz w:val="28"/>
        </w:rPr>
        <w:t>т государственных внебюджетных фондов и бюджетов иных уровней</w:t>
      </w:r>
      <w:r w:rsidR="00820AB7">
        <w:rPr>
          <w:sz w:val="28"/>
        </w:rPr>
        <w:t>»</w:t>
      </w:r>
      <w:r w:rsidR="00820AB7" w:rsidRPr="00820AB7">
        <w:t xml:space="preserve"> </w:t>
      </w:r>
      <w:r w:rsidR="00820AB7" w:rsidRPr="00820AB7">
        <w:rPr>
          <w:sz w:val="28"/>
        </w:rPr>
        <w:t xml:space="preserve">ответственному исполнителю департаменту жилищно-коммунального хозяйства администрации города Нефтеюганска уменьшение средств местного бюджета </w:t>
      </w:r>
      <w:r w:rsidR="00820AB7">
        <w:rPr>
          <w:sz w:val="28"/>
        </w:rPr>
        <w:t xml:space="preserve">в общей сумме </w:t>
      </w:r>
      <w:r w:rsidR="00820AB7" w:rsidRPr="00820AB7">
        <w:rPr>
          <w:sz w:val="28"/>
        </w:rPr>
        <w:t>29 004,644</w:t>
      </w:r>
      <w:r w:rsidR="00820AB7">
        <w:rPr>
          <w:sz w:val="28"/>
        </w:rPr>
        <w:t xml:space="preserve"> тыс. рублей, в том числе: в 2019 году в сумме </w:t>
      </w:r>
      <w:r w:rsidR="00820AB7" w:rsidRPr="00820AB7">
        <w:rPr>
          <w:sz w:val="28"/>
        </w:rPr>
        <w:t>9 643,444</w:t>
      </w:r>
      <w:r w:rsidR="00820AB7">
        <w:rPr>
          <w:sz w:val="28"/>
        </w:rPr>
        <w:t xml:space="preserve"> тыс. рублей, в 2020 году в сумме </w:t>
      </w:r>
      <w:r w:rsidR="00820AB7" w:rsidRPr="00820AB7">
        <w:rPr>
          <w:sz w:val="28"/>
        </w:rPr>
        <w:t>9 680,600</w:t>
      </w:r>
      <w:r w:rsidR="00820AB7">
        <w:rPr>
          <w:sz w:val="28"/>
        </w:rPr>
        <w:t xml:space="preserve"> тыс. рублей, в 2021 году в сумме </w:t>
      </w:r>
      <w:r w:rsidR="00820AB7" w:rsidRPr="00820AB7">
        <w:rPr>
          <w:sz w:val="28"/>
        </w:rPr>
        <w:t>9 680,600 тыс. рублей</w:t>
      </w:r>
      <w:r w:rsidR="00820AB7">
        <w:rPr>
          <w:sz w:val="28"/>
        </w:rPr>
        <w:t>, по причине</w:t>
      </w:r>
      <w:r w:rsidR="00820AB7" w:rsidRPr="00820AB7">
        <w:rPr>
          <w:sz w:val="28"/>
        </w:rPr>
        <w:t xml:space="preserve"> отсутстви</w:t>
      </w:r>
      <w:r w:rsidR="00820AB7">
        <w:rPr>
          <w:sz w:val="28"/>
        </w:rPr>
        <w:t>я</w:t>
      </w:r>
      <w:r w:rsidR="00820AB7" w:rsidRPr="00820AB7">
        <w:rPr>
          <w:sz w:val="28"/>
        </w:rPr>
        <w:t xml:space="preserve"> необходимости предоставления субсидии на возмещение недополученных доходов юридическим лицам в связи с оказанием услуг по погребению</w:t>
      </w:r>
      <w:r w:rsidR="00820AB7">
        <w:rPr>
          <w:sz w:val="28"/>
        </w:rPr>
        <w:t xml:space="preserve">, так как произведена </w:t>
      </w:r>
      <w:r w:rsidR="00820AB7" w:rsidRPr="00820AB7">
        <w:rPr>
          <w:sz w:val="28"/>
        </w:rPr>
        <w:t>реорганизаци</w:t>
      </w:r>
      <w:r w:rsidR="00820AB7">
        <w:rPr>
          <w:sz w:val="28"/>
        </w:rPr>
        <w:t>я</w:t>
      </w:r>
      <w:r w:rsidR="00820AB7" w:rsidRPr="00820AB7">
        <w:rPr>
          <w:sz w:val="28"/>
        </w:rPr>
        <w:t xml:space="preserve"> НГ МУП «Реквием» в форме преобразования в НГ МКУ «Реквием»</w:t>
      </w:r>
      <w:r w:rsidR="00820AB7">
        <w:rPr>
          <w:sz w:val="28"/>
        </w:rPr>
        <w:t>.</w:t>
      </w:r>
    </w:p>
    <w:p w:rsidR="00D0619B" w:rsidRDefault="00D2014E" w:rsidP="00A93A0E">
      <w:pPr>
        <w:spacing w:line="247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По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BA4B1C">
        <w:rPr>
          <w:sz w:val="28"/>
        </w:rPr>
        <w:t>й</w:t>
      </w:r>
      <w:r>
        <w:rPr>
          <w:sz w:val="28"/>
        </w:rPr>
        <w:t>, отражённ</w:t>
      </w:r>
      <w:r w:rsidR="00BA4B1C">
        <w:rPr>
          <w:sz w:val="28"/>
        </w:rPr>
        <w:t>о</w:t>
      </w:r>
      <w:r w:rsidR="004E39AD">
        <w:rPr>
          <w:sz w:val="28"/>
        </w:rPr>
        <w:t>й</w:t>
      </w:r>
      <w:r>
        <w:rPr>
          <w:sz w:val="28"/>
        </w:rPr>
        <w:t xml:space="preserve"> в настоящем заключении. </w:t>
      </w:r>
    </w:p>
    <w:p w:rsidR="00533E3F" w:rsidRDefault="00D2014E" w:rsidP="00A93A0E">
      <w:pPr>
        <w:spacing w:line="247" w:lineRule="auto"/>
        <w:ind w:firstLine="567"/>
        <w:jc w:val="both"/>
        <w:rPr>
          <w:sz w:val="28"/>
        </w:rPr>
      </w:pPr>
      <w:r>
        <w:rPr>
          <w:sz w:val="28"/>
          <w:highlight w:val="white"/>
        </w:rPr>
        <w:t>Информацию о решени</w:t>
      </w:r>
      <w:r w:rsidR="00BA4B1C">
        <w:rPr>
          <w:sz w:val="28"/>
          <w:highlight w:val="white"/>
        </w:rPr>
        <w:t>и</w:t>
      </w:r>
      <w:r>
        <w:rPr>
          <w:sz w:val="28"/>
          <w:highlight w:val="white"/>
        </w:rPr>
        <w:t xml:space="preserve">, принятых по результатам рассмотрения настоящего </w:t>
      </w:r>
      <w:r>
        <w:rPr>
          <w:sz w:val="28"/>
        </w:rPr>
        <w:t>заключении</w:t>
      </w:r>
      <w:r>
        <w:rPr>
          <w:sz w:val="28"/>
          <w:highlight w:val="white"/>
        </w:rPr>
        <w:t xml:space="preserve">, направить в адрес Счётной палаты до </w:t>
      </w:r>
      <w:r w:rsidR="00913234">
        <w:rPr>
          <w:sz w:val="28"/>
          <w:highlight w:val="white"/>
        </w:rPr>
        <w:t>17</w:t>
      </w:r>
      <w:r>
        <w:rPr>
          <w:sz w:val="28"/>
          <w:highlight w:val="white"/>
        </w:rPr>
        <w:t>.</w:t>
      </w:r>
      <w:r w:rsidR="00913234">
        <w:rPr>
          <w:sz w:val="28"/>
          <w:highlight w:val="white"/>
        </w:rPr>
        <w:t>10</w:t>
      </w:r>
      <w:r>
        <w:rPr>
          <w:sz w:val="28"/>
          <w:highlight w:val="white"/>
        </w:rPr>
        <w:t>.2019 года.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533E3F" w:rsidRDefault="00BA4B1C">
      <w:pPr>
        <w:jc w:val="both"/>
        <w:rPr>
          <w:sz w:val="28"/>
        </w:rPr>
      </w:pPr>
      <w:bookmarkStart w:id="1" w:name="_GoBack"/>
      <w:bookmarkEnd w:id="1"/>
      <w:r>
        <w:rPr>
          <w:sz w:val="28"/>
        </w:rPr>
        <w:t>П</w:t>
      </w:r>
      <w:r w:rsidR="00D2014E">
        <w:rPr>
          <w:sz w:val="28"/>
        </w:rPr>
        <w:t>редседател</w:t>
      </w:r>
      <w:r>
        <w:rPr>
          <w:sz w:val="28"/>
        </w:rPr>
        <w:t>ь</w:t>
      </w:r>
      <w:r w:rsidR="00D2014E">
        <w:rPr>
          <w:sz w:val="28"/>
        </w:rPr>
        <w:t xml:space="preserve">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EC100E">
        <w:rPr>
          <w:sz w:val="28"/>
        </w:rPr>
        <w:t xml:space="preserve"> </w:t>
      </w:r>
      <w:r>
        <w:rPr>
          <w:sz w:val="28"/>
        </w:rPr>
        <w:t>Гичкина</w:t>
      </w:r>
    </w:p>
    <w:p w:rsidR="00533E3F" w:rsidRDefault="00533E3F">
      <w:pPr>
        <w:ind w:firstLine="709"/>
        <w:jc w:val="both"/>
        <w:rPr>
          <w:sz w:val="16"/>
        </w:rPr>
      </w:pPr>
    </w:p>
    <w:p w:rsidR="00533E3F" w:rsidRDefault="00533E3F">
      <w:pPr>
        <w:ind w:firstLine="709"/>
        <w:jc w:val="both"/>
        <w:rPr>
          <w:sz w:val="16"/>
        </w:rPr>
      </w:pPr>
    </w:p>
    <w:p w:rsidR="00533E3F" w:rsidRDefault="00533E3F">
      <w:pPr>
        <w:ind w:firstLine="709"/>
        <w:jc w:val="both"/>
        <w:rPr>
          <w:sz w:val="16"/>
        </w:rPr>
      </w:pPr>
    </w:p>
    <w:p w:rsidR="00533E3F" w:rsidRDefault="00533E3F">
      <w:pPr>
        <w:ind w:firstLine="709"/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142936" w:rsidRPr="00142936" w:rsidRDefault="00142936" w:rsidP="00142936">
      <w:pPr>
        <w:jc w:val="both"/>
        <w:rPr>
          <w:sz w:val="16"/>
        </w:rPr>
      </w:pPr>
    </w:p>
    <w:p w:rsidR="00142936" w:rsidRPr="00142936" w:rsidRDefault="00142936" w:rsidP="00142936">
      <w:pPr>
        <w:jc w:val="both"/>
        <w:rPr>
          <w:sz w:val="16"/>
        </w:rPr>
      </w:pPr>
      <w:r w:rsidRPr="00142936">
        <w:rPr>
          <w:sz w:val="16"/>
        </w:rPr>
        <w:t>Исполнитель:</w:t>
      </w:r>
    </w:p>
    <w:p w:rsidR="00142936" w:rsidRPr="00142936" w:rsidRDefault="00142936" w:rsidP="00142936">
      <w:pPr>
        <w:jc w:val="both"/>
        <w:rPr>
          <w:sz w:val="16"/>
        </w:rPr>
      </w:pPr>
      <w:r w:rsidRPr="00142936">
        <w:rPr>
          <w:sz w:val="16"/>
        </w:rPr>
        <w:t xml:space="preserve">Начальник инспекторского отдела № 2 </w:t>
      </w:r>
    </w:p>
    <w:p w:rsidR="00142936" w:rsidRPr="00142936" w:rsidRDefault="00142936" w:rsidP="00142936">
      <w:pPr>
        <w:jc w:val="both"/>
        <w:rPr>
          <w:sz w:val="16"/>
        </w:rPr>
      </w:pPr>
      <w:r w:rsidRPr="00142936">
        <w:rPr>
          <w:sz w:val="16"/>
        </w:rPr>
        <w:t>Счётной палаты города Нефтеюганска</w:t>
      </w:r>
    </w:p>
    <w:p w:rsidR="00142936" w:rsidRPr="00142936" w:rsidRDefault="00142936" w:rsidP="00142936">
      <w:pPr>
        <w:jc w:val="both"/>
        <w:rPr>
          <w:sz w:val="16"/>
        </w:rPr>
      </w:pPr>
      <w:r w:rsidRPr="00142936">
        <w:rPr>
          <w:sz w:val="16"/>
        </w:rPr>
        <w:t>Салахова Дина Ирековна</w:t>
      </w:r>
    </w:p>
    <w:p w:rsidR="00533E3F" w:rsidRDefault="00142936" w:rsidP="00142936">
      <w:pPr>
        <w:jc w:val="both"/>
        <w:rPr>
          <w:sz w:val="16"/>
        </w:rPr>
      </w:pPr>
      <w:r w:rsidRPr="00142936">
        <w:rPr>
          <w:sz w:val="16"/>
        </w:rPr>
        <w:t>Тел. 8 3463 20 30 65</w:t>
      </w:r>
    </w:p>
    <w:sectPr w:rsidR="00533E3F" w:rsidSect="00844337">
      <w:headerReference w:type="default" r:id="rId10"/>
      <w:pgSz w:w="11906" w:h="16838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8C" w:rsidRDefault="00FA668C">
      <w:r>
        <w:separator/>
      </w:r>
    </w:p>
  </w:endnote>
  <w:endnote w:type="continuationSeparator" w:id="0">
    <w:p w:rsidR="00FA668C" w:rsidRDefault="00FA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8C" w:rsidRDefault="00FA668C">
      <w:r>
        <w:separator/>
      </w:r>
    </w:p>
  </w:footnote>
  <w:footnote w:type="continuationSeparator" w:id="0">
    <w:p w:rsidR="00FA668C" w:rsidRDefault="00FA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EC100E">
      <w:rPr>
        <w:rStyle w:val="a7"/>
        <w:noProof/>
      </w:rPr>
      <w:t>2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E3F"/>
    <w:rsid w:val="00035CBF"/>
    <w:rsid w:val="00073788"/>
    <w:rsid w:val="00084896"/>
    <w:rsid w:val="00101BF5"/>
    <w:rsid w:val="00112D09"/>
    <w:rsid w:val="00142936"/>
    <w:rsid w:val="001D09FC"/>
    <w:rsid w:val="001D4532"/>
    <w:rsid w:val="001E6C40"/>
    <w:rsid w:val="00227C4B"/>
    <w:rsid w:val="00243520"/>
    <w:rsid w:val="00243F6B"/>
    <w:rsid w:val="00290D36"/>
    <w:rsid w:val="00296F47"/>
    <w:rsid w:val="002E54AA"/>
    <w:rsid w:val="003154CF"/>
    <w:rsid w:val="00353521"/>
    <w:rsid w:val="003D6AA8"/>
    <w:rsid w:val="00442D33"/>
    <w:rsid w:val="004E39AD"/>
    <w:rsid w:val="005268C2"/>
    <w:rsid w:val="00533E3F"/>
    <w:rsid w:val="00534C46"/>
    <w:rsid w:val="005C5FF6"/>
    <w:rsid w:val="005F23F6"/>
    <w:rsid w:val="00684743"/>
    <w:rsid w:val="00774BD5"/>
    <w:rsid w:val="007F58A9"/>
    <w:rsid w:val="00820AB7"/>
    <w:rsid w:val="00830F23"/>
    <w:rsid w:val="00844337"/>
    <w:rsid w:val="008527A7"/>
    <w:rsid w:val="00913234"/>
    <w:rsid w:val="009163AE"/>
    <w:rsid w:val="00943E3B"/>
    <w:rsid w:val="0096776E"/>
    <w:rsid w:val="00991A56"/>
    <w:rsid w:val="0099213D"/>
    <w:rsid w:val="00A121CD"/>
    <w:rsid w:val="00A245E6"/>
    <w:rsid w:val="00A46C5B"/>
    <w:rsid w:val="00A61BA2"/>
    <w:rsid w:val="00A93A0E"/>
    <w:rsid w:val="00AE28BC"/>
    <w:rsid w:val="00B455F2"/>
    <w:rsid w:val="00B84E2D"/>
    <w:rsid w:val="00BA4B1C"/>
    <w:rsid w:val="00BC0437"/>
    <w:rsid w:val="00C437B7"/>
    <w:rsid w:val="00C6557D"/>
    <w:rsid w:val="00C70C40"/>
    <w:rsid w:val="00CB2449"/>
    <w:rsid w:val="00CB3F12"/>
    <w:rsid w:val="00D0619B"/>
    <w:rsid w:val="00D2014E"/>
    <w:rsid w:val="00D4195A"/>
    <w:rsid w:val="00D602B5"/>
    <w:rsid w:val="00D73BBB"/>
    <w:rsid w:val="00D8766C"/>
    <w:rsid w:val="00DB0DCC"/>
    <w:rsid w:val="00E4459A"/>
    <w:rsid w:val="00E623E9"/>
    <w:rsid w:val="00EB6B07"/>
    <w:rsid w:val="00EC100E"/>
    <w:rsid w:val="00F06EAA"/>
    <w:rsid w:val="00F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55CFDF"/>
  <w15:docId w15:val="{B5268946-3647-4FFF-A3A6-39D55DED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38</cp:revision>
  <cp:lastPrinted>2019-10-09T12:20:00Z</cp:lastPrinted>
  <dcterms:created xsi:type="dcterms:W3CDTF">2019-09-30T03:22:00Z</dcterms:created>
  <dcterms:modified xsi:type="dcterms:W3CDTF">2019-12-26T13:01:00Z</dcterms:modified>
</cp:coreProperties>
</file>