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 xml:space="preserve">тел./факс (3463) 20-30-55, 20-30-63 E-mail: </w:t>
      </w:r>
      <w:hyperlink r:id="rId9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F655AE">
        <w:rPr>
          <w:b/>
          <w:color w:val="0000FF"/>
          <w:sz w:val="18"/>
          <w:u w:val="single"/>
        </w:rPr>
        <w:t xml:space="preserve"> </w:t>
      </w:r>
      <w:hyperlink r:id="rId10" w:history="1">
        <w:r>
          <w:rPr>
            <w:rStyle w:val="a9"/>
            <w:b/>
            <w:sz w:val="18"/>
          </w:rPr>
          <w:t>www.admugansk.ru</w:t>
        </w:r>
      </w:hyperlink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5111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651F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C47B1F">
        <w:tc>
          <w:tcPr>
            <w:tcW w:w="4928" w:type="dxa"/>
          </w:tcPr>
          <w:p w:rsidR="00C47B1F" w:rsidRDefault="00F24994" w:rsidP="00633081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633081">
              <w:rPr>
                <w:sz w:val="28"/>
              </w:rPr>
              <w:t>09</w:t>
            </w:r>
            <w:r w:rsidR="00535CB1">
              <w:rPr>
                <w:sz w:val="28"/>
              </w:rPr>
              <w:t>.</w:t>
            </w:r>
            <w:r w:rsidR="004467B1">
              <w:rPr>
                <w:sz w:val="28"/>
              </w:rPr>
              <w:t>1</w:t>
            </w:r>
            <w:r w:rsidR="00633081">
              <w:rPr>
                <w:sz w:val="28"/>
              </w:rPr>
              <w:t>2</w:t>
            </w:r>
            <w:r w:rsidR="00535CB1">
              <w:rPr>
                <w:sz w:val="28"/>
              </w:rPr>
              <w:t>.</w:t>
            </w:r>
            <w:r>
              <w:rPr>
                <w:sz w:val="28"/>
              </w:rPr>
              <w:t>2019</w:t>
            </w:r>
            <w:r w:rsidR="00FF79B9">
              <w:rPr>
                <w:sz w:val="28"/>
              </w:rPr>
              <w:t xml:space="preserve"> № </w:t>
            </w:r>
            <w:r w:rsidR="00161823">
              <w:rPr>
                <w:sz w:val="28"/>
              </w:rPr>
              <w:t>505</w:t>
            </w:r>
          </w:p>
        </w:tc>
        <w:tc>
          <w:tcPr>
            <w:tcW w:w="4961" w:type="dxa"/>
          </w:tcPr>
          <w:p w:rsidR="00C47B1F" w:rsidRDefault="00C47B1F" w:rsidP="00BA6B76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>
      <w:pPr>
        <w:jc w:val="center"/>
        <w:rPr>
          <w:b/>
          <w:sz w:val="28"/>
        </w:rPr>
      </w:pPr>
    </w:p>
    <w:p w:rsidR="00C47B1F" w:rsidRDefault="00D55BF1">
      <w:pPr>
        <w:jc w:val="center"/>
        <w:rPr>
          <w:sz w:val="28"/>
        </w:rPr>
      </w:pPr>
      <w:bookmarkStart w:id="0" w:name="_GoBack"/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 xml:space="preserve"> «</w:t>
      </w:r>
      <w:r w:rsidR="00BA6B76">
        <w:rPr>
          <w:b/>
          <w:sz w:val="28"/>
        </w:rPr>
        <w:t xml:space="preserve">Управление муниципальным имуществом </w:t>
      </w:r>
      <w:r>
        <w:rPr>
          <w:b/>
          <w:sz w:val="28"/>
        </w:rPr>
        <w:t>города Нефтеюганска»</w:t>
      </w:r>
    </w:p>
    <w:bookmarkEnd w:id="0"/>
    <w:p w:rsidR="00C47B1F" w:rsidRDefault="00C47B1F">
      <w:pPr>
        <w:ind w:firstLine="709"/>
        <w:jc w:val="both"/>
        <w:rPr>
          <w:sz w:val="28"/>
        </w:rPr>
      </w:pPr>
    </w:p>
    <w:p w:rsidR="00C47B1F" w:rsidRDefault="00D55BF1">
      <w:pPr>
        <w:jc w:val="both"/>
        <w:rPr>
          <w:sz w:val="28"/>
        </w:rPr>
      </w:pPr>
      <w:r>
        <w:rPr>
          <w:sz w:val="28"/>
        </w:rPr>
        <w:tab/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</w:t>
      </w:r>
      <w:r w:rsidR="00633081">
        <w:rPr>
          <w:sz w:val="28"/>
        </w:rPr>
        <w:t>утверждённого решением Думы города Нефтеюганска от 27.09.2011 № 115-</w:t>
      </w:r>
      <w:r w:rsidR="00633081">
        <w:rPr>
          <w:sz w:val="28"/>
          <w:lang w:val="en-US"/>
        </w:rPr>
        <w:t>V</w:t>
      </w:r>
      <w:r w:rsidR="00633081">
        <w:rPr>
          <w:sz w:val="28"/>
        </w:rPr>
        <w:t xml:space="preserve">, </w:t>
      </w:r>
      <w:r>
        <w:rPr>
          <w:sz w:val="28"/>
        </w:rPr>
        <w:t>рассмотрев проект изменений в муниципальную программу «</w:t>
      </w:r>
      <w:r w:rsidR="00BA6B76">
        <w:rPr>
          <w:sz w:val="28"/>
        </w:rPr>
        <w:t xml:space="preserve">Управление муниципальным имуществом </w:t>
      </w:r>
      <w:r>
        <w:rPr>
          <w:sz w:val="28"/>
        </w:rPr>
        <w:t>города Нефтеюганска</w:t>
      </w:r>
      <w:r>
        <w:rPr>
          <w:b/>
          <w:sz w:val="28"/>
        </w:rPr>
        <w:t>»</w:t>
      </w:r>
      <w:r>
        <w:rPr>
          <w:sz w:val="28"/>
        </w:rPr>
        <w:t xml:space="preserve"> (далее по тексту – проект изменений), сообщает следующее: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1662BE">
        <w:rPr>
          <w:sz w:val="28"/>
        </w:rPr>
        <w:t>.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</w:t>
      </w:r>
      <w:r w:rsidR="00255A59">
        <w:rPr>
          <w:sz w:val="28"/>
        </w:rPr>
        <w:t>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>9</w:t>
      </w:r>
      <w:r>
        <w:rPr>
          <w:sz w:val="28"/>
        </w:rPr>
        <w:t xml:space="preserve"> № </w:t>
      </w:r>
      <w:r w:rsidR="00255A59">
        <w:rPr>
          <w:sz w:val="28"/>
        </w:rPr>
        <w:t>77</w:t>
      </w:r>
      <w:r>
        <w:rPr>
          <w:sz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</w:t>
      </w:r>
      <w:r w:rsidR="00255A59">
        <w:rPr>
          <w:sz w:val="28"/>
        </w:rPr>
        <w:t>ок от 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 xml:space="preserve">9 </w:t>
      </w:r>
      <w:r w:rsidR="00255A59">
        <w:rPr>
          <w:sz w:val="28"/>
        </w:rPr>
        <w:br/>
        <w:t>№ 77</w:t>
      </w:r>
      <w:r>
        <w:rPr>
          <w:sz w:val="28"/>
        </w:rPr>
        <w:t>-нп);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BA6B76" w:rsidRPr="006C434E" w:rsidRDefault="00D55BF1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 w:rsidRPr="006C434E">
        <w:rPr>
          <w:sz w:val="28"/>
        </w:rPr>
        <w:t xml:space="preserve">Предоставленный проект изменений соответствует </w:t>
      </w:r>
      <w:r w:rsidR="00BA6B76" w:rsidRPr="006C434E">
        <w:rPr>
          <w:sz w:val="28"/>
        </w:rPr>
        <w:t>Порядку</w:t>
      </w:r>
      <w:r w:rsidRPr="006C434E">
        <w:rPr>
          <w:sz w:val="28"/>
        </w:rPr>
        <w:t xml:space="preserve"> от </w:t>
      </w:r>
      <w:r w:rsidR="003C3FFD" w:rsidRPr="006C434E">
        <w:rPr>
          <w:sz w:val="28"/>
        </w:rPr>
        <w:t>1</w:t>
      </w:r>
      <w:r w:rsidRPr="006C434E">
        <w:rPr>
          <w:sz w:val="28"/>
        </w:rPr>
        <w:t>8.0</w:t>
      </w:r>
      <w:r w:rsidR="003C3FFD" w:rsidRPr="006C434E">
        <w:rPr>
          <w:sz w:val="28"/>
        </w:rPr>
        <w:t>4</w:t>
      </w:r>
      <w:r w:rsidRPr="006C434E">
        <w:rPr>
          <w:sz w:val="28"/>
        </w:rPr>
        <w:t>.201</w:t>
      </w:r>
      <w:r w:rsidR="003C3FFD" w:rsidRPr="006C434E">
        <w:rPr>
          <w:sz w:val="28"/>
        </w:rPr>
        <w:t>9</w:t>
      </w:r>
      <w:r w:rsidRPr="006C434E">
        <w:rPr>
          <w:sz w:val="28"/>
        </w:rPr>
        <w:t xml:space="preserve"> № </w:t>
      </w:r>
      <w:r w:rsidR="003C3FFD" w:rsidRPr="006C434E">
        <w:rPr>
          <w:sz w:val="28"/>
        </w:rPr>
        <w:t>77</w:t>
      </w:r>
      <w:r w:rsidRPr="006C434E">
        <w:rPr>
          <w:sz w:val="28"/>
        </w:rPr>
        <w:t>-нп</w:t>
      </w:r>
      <w:r w:rsidR="00BA6B76" w:rsidRPr="006C434E">
        <w:rPr>
          <w:sz w:val="28"/>
        </w:rPr>
        <w:t>.</w:t>
      </w:r>
    </w:p>
    <w:p w:rsidR="00330BF2" w:rsidRDefault="00D55BF1" w:rsidP="004467B1">
      <w:pPr>
        <w:tabs>
          <w:tab w:val="left" w:pos="0"/>
        </w:tabs>
        <w:jc w:val="both"/>
        <w:rPr>
          <w:sz w:val="28"/>
        </w:rPr>
      </w:pPr>
      <w:r>
        <w:rPr>
          <w:rFonts w:cs="Times New Roman"/>
          <w:sz w:val="28"/>
          <w:szCs w:val="28"/>
        </w:rPr>
        <w:tab/>
      </w:r>
      <w:r>
        <w:rPr>
          <w:sz w:val="28"/>
        </w:rPr>
        <w:t>3. Проектом изменений в муниципальную программу планируется</w:t>
      </w:r>
      <w:r w:rsidR="004467B1">
        <w:rPr>
          <w:sz w:val="28"/>
        </w:rPr>
        <w:t xml:space="preserve"> у</w:t>
      </w:r>
      <w:r w:rsidR="00633081">
        <w:rPr>
          <w:sz w:val="28"/>
        </w:rPr>
        <w:t>меньшить</w:t>
      </w:r>
      <w:r w:rsidR="004467B1">
        <w:rPr>
          <w:sz w:val="28"/>
        </w:rPr>
        <w:t xml:space="preserve"> объём финансирования муниципальной программы в 2019 году на </w:t>
      </w:r>
      <w:r w:rsidR="00633081">
        <w:rPr>
          <w:sz w:val="28"/>
        </w:rPr>
        <w:t>65,00</w:t>
      </w:r>
      <w:r w:rsidR="004467B1">
        <w:rPr>
          <w:sz w:val="28"/>
        </w:rPr>
        <w:t xml:space="preserve"> тыс. рублей по программному мероприятию «</w:t>
      </w:r>
      <w:r w:rsidR="00633081">
        <w:rPr>
          <w:sz w:val="28"/>
        </w:rPr>
        <w:t>Обеспечение надлежащего уровня эксплуатации недвижимого имущества казны или переданного на праве оперативного управления администрации города Нефтеюганска, органам администрации города Нефтеюганска</w:t>
      </w:r>
      <w:r w:rsidR="004467B1">
        <w:rPr>
          <w:sz w:val="28"/>
        </w:rPr>
        <w:t xml:space="preserve">» ответственному исполнителю </w:t>
      </w:r>
      <w:r w:rsidR="004467B1" w:rsidRPr="00025C9C">
        <w:rPr>
          <w:sz w:val="28"/>
        </w:rPr>
        <w:t xml:space="preserve">департаменту </w:t>
      </w:r>
      <w:r w:rsidR="00633081">
        <w:rPr>
          <w:sz w:val="28"/>
        </w:rPr>
        <w:t>градостроительства и земельных отношений</w:t>
      </w:r>
      <w:r w:rsidR="004467B1" w:rsidRPr="00025C9C">
        <w:rPr>
          <w:sz w:val="28"/>
        </w:rPr>
        <w:t xml:space="preserve"> администрации города Нефтеюганска</w:t>
      </w:r>
      <w:r w:rsidR="00633081">
        <w:rPr>
          <w:sz w:val="28"/>
        </w:rPr>
        <w:t>, в связи со сложившейся экономией по объекту «Выполнение капитального ремонта объекта «Здание администрации», расположенного по адресу: ХМАО, г. Нефтеюганск, мкр-н 2, д. 25»</w:t>
      </w:r>
      <w:r w:rsidR="004467B1">
        <w:rPr>
          <w:sz w:val="28"/>
        </w:rPr>
        <w:t xml:space="preserve">.  </w:t>
      </w:r>
    </w:p>
    <w:p w:rsidR="004467B1" w:rsidRPr="00025C9C" w:rsidRDefault="004467B1" w:rsidP="004467B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4. Финансовые показатели, запланированные проектом изменений, соответствуют финансово-экономическим обоснованиям</w:t>
      </w:r>
      <w:r w:rsidR="00633081">
        <w:rPr>
          <w:sz w:val="28"/>
        </w:rPr>
        <w:t>,</w:t>
      </w:r>
      <w:r>
        <w:rPr>
          <w:sz w:val="28"/>
        </w:rPr>
        <w:t xml:space="preserve"> представленным для проведения экспертизы.  </w:t>
      </w:r>
    </w:p>
    <w:p w:rsidR="0017770C" w:rsidRPr="0017770C" w:rsidRDefault="004467B1" w:rsidP="0017770C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П</w:t>
      </w:r>
      <w:r w:rsidR="0017770C" w:rsidRPr="00BD1DDB">
        <w:rPr>
          <w:sz w:val="28"/>
        </w:rPr>
        <w:t>о итогам проведения финансово-экономической экспертизы, замечания и предложения отсутствуют, предлагаем направить проект изменений на утверждение.</w:t>
      </w:r>
      <w:r w:rsidR="0017770C" w:rsidRPr="0017770C">
        <w:rPr>
          <w:sz w:val="28"/>
        </w:rPr>
        <w:t xml:space="preserve"> </w:t>
      </w:r>
    </w:p>
    <w:p w:rsidR="0017770C" w:rsidRPr="0017770C" w:rsidRDefault="0017770C" w:rsidP="0017770C">
      <w:pPr>
        <w:jc w:val="both"/>
        <w:rPr>
          <w:sz w:val="28"/>
        </w:rPr>
      </w:pPr>
    </w:p>
    <w:p w:rsidR="0017770C" w:rsidRPr="0017770C" w:rsidRDefault="0017770C" w:rsidP="0017770C">
      <w:pPr>
        <w:jc w:val="both"/>
        <w:rPr>
          <w:sz w:val="28"/>
        </w:rPr>
      </w:pPr>
    </w:p>
    <w:p w:rsidR="00C47B1F" w:rsidRDefault="00C47B1F">
      <w:pPr>
        <w:jc w:val="both"/>
        <w:rPr>
          <w:sz w:val="28"/>
        </w:rPr>
      </w:pPr>
    </w:p>
    <w:p w:rsidR="00C47B1F" w:rsidRDefault="00D55BF1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Председатель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</w:t>
      </w:r>
      <w:r w:rsidR="00805908">
        <w:rPr>
          <w:sz w:val="28"/>
        </w:rPr>
        <w:t xml:space="preserve"> </w:t>
      </w:r>
      <w:r>
        <w:rPr>
          <w:sz w:val="28"/>
        </w:rPr>
        <w:t>Гичкина</w:t>
      </w:r>
    </w:p>
    <w:p w:rsidR="00C47B1F" w:rsidRDefault="00C47B1F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20"/>
        </w:rPr>
      </w:pPr>
    </w:p>
    <w:p w:rsidR="003378C7" w:rsidRDefault="003378C7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FE1E86" w:rsidRDefault="00FE1E86">
      <w:pPr>
        <w:tabs>
          <w:tab w:val="left" w:pos="0"/>
        </w:tabs>
        <w:jc w:val="both"/>
        <w:rPr>
          <w:sz w:val="20"/>
        </w:rPr>
      </w:pPr>
    </w:p>
    <w:p w:rsidR="00FE1E86" w:rsidRDefault="00FE1E86">
      <w:pPr>
        <w:tabs>
          <w:tab w:val="left" w:pos="0"/>
        </w:tabs>
        <w:jc w:val="both"/>
        <w:rPr>
          <w:sz w:val="20"/>
        </w:rPr>
      </w:pPr>
    </w:p>
    <w:p w:rsidR="00FE1E86" w:rsidRDefault="00FE1E86">
      <w:pPr>
        <w:tabs>
          <w:tab w:val="left" w:pos="0"/>
        </w:tabs>
        <w:jc w:val="both"/>
        <w:rPr>
          <w:sz w:val="20"/>
        </w:rPr>
      </w:pPr>
    </w:p>
    <w:p w:rsidR="00FE1E86" w:rsidRDefault="00FE1E86">
      <w:pPr>
        <w:tabs>
          <w:tab w:val="left" w:pos="0"/>
        </w:tabs>
        <w:jc w:val="both"/>
        <w:rPr>
          <w:sz w:val="20"/>
        </w:rPr>
      </w:pPr>
    </w:p>
    <w:p w:rsidR="00FE1E86" w:rsidRDefault="00FE1E86">
      <w:pPr>
        <w:tabs>
          <w:tab w:val="left" w:pos="0"/>
        </w:tabs>
        <w:jc w:val="both"/>
        <w:rPr>
          <w:sz w:val="20"/>
        </w:rPr>
      </w:pPr>
    </w:p>
    <w:p w:rsidR="00FE1E86" w:rsidRDefault="00FE1E86">
      <w:pPr>
        <w:tabs>
          <w:tab w:val="left" w:pos="0"/>
        </w:tabs>
        <w:jc w:val="both"/>
        <w:rPr>
          <w:sz w:val="20"/>
        </w:rPr>
      </w:pPr>
    </w:p>
    <w:p w:rsidR="00FE1E86" w:rsidRDefault="00FE1E86">
      <w:pPr>
        <w:tabs>
          <w:tab w:val="left" w:pos="0"/>
        </w:tabs>
        <w:jc w:val="both"/>
        <w:rPr>
          <w:sz w:val="20"/>
        </w:rPr>
      </w:pPr>
    </w:p>
    <w:p w:rsidR="00633081" w:rsidRDefault="00633081">
      <w:pPr>
        <w:tabs>
          <w:tab w:val="left" w:pos="0"/>
        </w:tabs>
        <w:jc w:val="both"/>
        <w:rPr>
          <w:sz w:val="20"/>
        </w:rPr>
      </w:pPr>
    </w:p>
    <w:p w:rsidR="00FE1E86" w:rsidRDefault="00FE1E86">
      <w:pPr>
        <w:tabs>
          <w:tab w:val="left" w:pos="0"/>
        </w:tabs>
        <w:jc w:val="both"/>
        <w:rPr>
          <w:sz w:val="20"/>
        </w:rPr>
      </w:pPr>
    </w:p>
    <w:p w:rsidR="00BD1DDB" w:rsidRDefault="00BD1DDB">
      <w:pPr>
        <w:tabs>
          <w:tab w:val="left" w:pos="0"/>
        </w:tabs>
        <w:jc w:val="both"/>
        <w:rPr>
          <w:sz w:val="20"/>
        </w:rPr>
      </w:pPr>
    </w:p>
    <w:p w:rsidR="009C36D7" w:rsidRDefault="009C36D7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16"/>
          <w:szCs w:val="16"/>
        </w:rPr>
      </w:pP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Исполнитель:</w:t>
      </w:r>
    </w:p>
    <w:p w:rsidR="00486C6D" w:rsidRPr="00330BF2" w:rsidRDefault="00FE1E86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начальник</w:t>
      </w:r>
      <w:r w:rsidR="00486C6D" w:rsidRPr="00330BF2">
        <w:rPr>
          <w:sz w:val="18"/>
          <w:szCs w:val="18"/>
        </w:rPr>
        <w:t xml:space="preserve"> инспекторского отдела № </w:t>
      </w:r>
      <w:r>
        <w:rPr>
          <w:sz w:val="18"/>
          <w:szCs w:val="18"/>
        </w:rPr>
        <w:t>1</w:t>
      </w:r>
      <w:r w:rsidR="00486C6D" w:rsidRPr="00330BF2">
        <w:rPr>
          <w:sz w:val="18"/>
          <w:szCs w:val="18"/>
        </w:rPr>
        <w:t xml:space="preserve"> 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Счётной палаты города  Нефтеюганска</w:t>
      </w:r>
    </w:p>
    <w:p w:rsidR="00486C6D" w:rsidRPr="00330BF2" w:rsidRDefault="00FE1E86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Портнова Людмила Николаевна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 xml:space="preserve">Тел. 8 3463 </w:t>
      </w:r>
      <w:r w:rsidR="00BD1DDB">
        <w:rPr>
          <w:sz w:val="18"/>
          <w:szCs w:val="18"/>
        </w:rPr>
        <w:t xml:space="preserve">20 </w:t>
      </w:r>
      <w:r w:rsidR="00FE1E86">
        <w:rPr>
          <w:sz w:val="18"/>
          <w:szCs w:val="18"/>
        </w:rPr>
        <w:t>30</w:t>
      </w:r>
      <w:r w:rsidR="00BD1DDB">
        <w:rPr>
          <w:sz w:val="18"/>
          <w:szCs w:val="18"/>
        </w:rPr>
        <w:t xml:space="preserve"> </w:t>
      </w:r>
      <w:r w:rsidR="00FE1E86">
        <w:rPr>
          <w:sz w:val="18"/>
          <w:szCs w:val="18"/>
        </w:rPr>
        <w:t>54</w:t>
      </w:r>
    </w:p>
    <w:sectPr w:rsidR="00486C6D" w:rsidRPr="00330BF2" w:rsidSect="00066861">
      <w:headerReference w:type="default" r:id="rId11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CEF" w:rsidRDefault="00806CEF">
      <w:r>
        <w:separator/>
      </w:r>
    </w:p>
  </w:endnote>
  <w:endnote w:type="continuationSeparator" w:id="0">
    <w:p w:rsidR="00806CEF" w:rsidRDefault="0080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CEF" w:rsidRDefault="00806CEF">
      <w:r>
        <w:separator/>
      </w:r>
    </w:p>
  </w:footnote>
  <w:footnote w:type="continuationSeparator" w:id="0">
    <w:p w:rsidR="00806CEF" w:rsidRDefault="00806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61823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4B"/>
    <w:rsid w:val="00025C9C"/>
    <w:rsid w:val="0006192B"/>
    <w:rsid w:val="00066861"/>
    <w:rsid w:val="0007428C"/>
    <w:rsid w:val="001058DF"/>
    <w:rsid w:val="00161823"/>
    <w:rsid w:val="001662BE"/>
    <w:rsid w:val="00172A27"/>
    <w:rsid w:val="0017770C"/>
    <w:rsid w:val="001B0E7C"/>
    <w:rsid w:val="001C04DA"/>
    <w:rsid w:val="00207D20"/>
    <w:rsid w:val="00240440"/>
    <w:rsid w:val="00255A59"/>
    <w:rsid w:val="00292632"/>
    <w:rsid w:val="002E73C1"/>
    <w:rsid w:val="00307F21"/>
    <w:rsid w:val="00330BF2"/>
    <w:rsid w:val="003378C7"/>
    <w:rsid w:val="00391E80"/>
    <w:rsid w:val="003C3FFD"/>
    <w:rsid w:val="0041652A"/>
    <w:rsid w:val="004467B1"/>
    <w:rsid w:val="00486C6D"/>
    <w:rsid w:val="004D12BF"/>
    <w:rsid w:val="00531BD0"/>
    <w:rsid w:val="00535CB1"/>
    <w:rsid w:val="0057063C"/>
    <w:rsid w:val="00633081"/>
    <w:rsid w:val="00671B5A"/>
    <w:rsid w:val="00687C2E"/>
    <w:rsid w:val="006C434E"/>
    <w:rsid w:val="0075508D"/>
    <w:rsid w:val="00795456"/>
    <w:rsid w:val="007D319D"/>
    <w:rsid w:val="00805908"/>
    <w:rsid w:val="00806CEF"/>
    <w:rsid w:val="0082138B"/>
    <w:rsid w:val="008638AC"/>
    <w:rsid w:val="00881315"/>
    <w:rsid w:val="008B7E27"/>
    <w:rsid w:val="00935475"/>
    <w:rsid w:val="009837DC"/>
    <w:rsid w:val="009B224B"/>
    <w:rsid w:val="009B4F69"/>
    <w:rsid w:val="009C36D7"/>
    <w:rsid w:val="00A25EEB"/>
    <w:rsid w:val="00A90245"/>
    <w:rsid w:val="00AE1BFC"/>
    <w:rsid w:val="00B06E84"/>
    <w:rsid w:val="00B92D36"/>
    <w:rsid w:val="00BA6B76"/>
    <w:rsid w:val="00BD1DDB"/>
    <w:rsid w:val="00BF4A05"/>
    <w:rsid w:val="00C47B1F"/>
    <w:rsid w:val="00C86951"/>
    <w:rsid w:val="00D072E4"/>
    <w:rsid w:val="00D10537"/>
    <w:rsid w:val="00D55BF1"/>
    <w:rsid w:val="00DC0B9D"/>
    <w:rsid w:val="00DD175C"/>
    <w:rsid w:val="00E676F8"/>
    <w:rsid w:val="00EB43B3"/>
    <w:rsid w:val="00F2110F"/>
    <w:rsid w:val="00F24994"/>
    <w:rsid w:val="00F655AE"/>
    <w:rsid w:val="00FE1E86"/>
    <w:rsid w:val="00FF79B9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40E0"/>
  <w15:docId w15:val="{AA6DF3A8-609E-4DC3-B95A-2E2C32BA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17</cp:revision>
  <cp:lastPrinted>2019-06-13T04:03:00Z</cp:lastPrinted>
  <dcterms:created xsi:type="dcterms:W3CDTF">2019-05-08T08:29:00Z</dcterms:created>
  <dcterms:modified xsi:type="dcterms:W3CDTF">2019-12-30T06:08:00Z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