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A5" w:rsidRDefault="0099413C">
      <w:pPr>
        <w:jc w:val="center"/>
      </w:pPr>
      <w:r>
        <w:rPr>
          <w:noProof/>
        </w:rPr>
        <w:drawing>
          <wp:inline distT="0" distB="0" distL="0" distR="0">
            <wp:extent cx="820166" cy="102870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20166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FA5" w:rsidRDefault="00FA5FA5">
      <w:pPr>
        <w:jc w:val="center"/>
      </w:pPr>
    </w:p>
    <w:p w:rsidR="00FA5FA5" w:rsidRDefault="0099413C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FA5FA5" w:rsidRDefault="0099413C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FA5FA5" w:rsidRDefault="00FA5FA5">
      <w:pPr>
        <w:jc w:val="center"/>
        <w:rPr>
          <w:b/>
          <w:sz w:val="18"/>
        </w:rPr>
      </w:pPr>
    </w:p>
    <w:p w:rsidR="00FA5FA5" w:rsidRDefault="0099413C">
      <w:pPr>
        <w:pStyle w:val="ad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 xml:space="preserve">16 микрорайон, 23 дом, помещение 97, г. Нефтеюганск, </w:t>
      </w:r>
      <w:r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FA5FA5" w:rsidRDefault="0099413C">
      <w:pPr>
        <w:pStyle w:val="ad"/>
        <w:jc w:val="center"/>
        <w:rPr>
          <w:b/>
          <w:i w:val="0"/>
          <w:sz w:val="18"/>
        </w:rPr>
      </w:pPr>
      <w:r>
        <w:rPr>
          <w:b/>
          <w:i w:val="0"/>
        </w:rPr>
        <w:t xml:space="preserve">тел./факс (3463) 20-30-55, 20-30-63 E-mail: </w:t>
      </w:r>
      <w:hyperlink r:id="rId7" w:history="1">
        <w:r>
          <w:rPr>
            <w:rStyle w:val="af6"/>
            <w:b/>
            <w:i w:val="0"/>
            <w:color w:val="000000"/>
          </w:rPr>
          <w:t>sp-ugans</w:t>
        </w:r>
        <w:r>
          <w:rPr>
            <w:rStyle w:val="af6"/>
            <w:b/>
            <w:i w:val="0"/>
            <w:color w:val="000000"/>
          </w:rPr>
          <w:t>k@mail.ru</w:t>
        </w:r>
      </w:hyperlink>
      <w:r>
        <w:rPr>
          <w:b/>
          <w:i w:val="0"/>
        </w:rPr>
        <w:t xml:space="preserve"> </w:t>
      </w:r>
      <w:hyperlink r:id="rId8" w:history="1">
        <w:r>
          <w:rPr>
            <w:rStyle w:val="af6"/>
            <w:b/>
            <w:i w:val="0"/>
            <w:color w:val="000000"/>
          </w:rPr>
          <w:t>www.adm</w:t>
        </w:r>
        <w:r>
          <w:rPr>
            <w:rStyle w:val="af6"/>
            <w:b/>
            <w:i w:val="0"/>
            <w:color w:val="000000"/>
            <w:sz w:val="18"/>
          </w:rPr>
          <w:t>ugansk.ru</w:t>
        </w:r>
      </w:hyperlink>
      <w:r>
        <w:rPr>
          <w:b/>
          <w:i w:val="0"/>
          <w:sz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FA5FA5">
        <w:tc>
          <w:tcPr>
            <w:tcW w:w="4644" w:type="dxa"/>
            <w:vMerge w:val="restart"/>
          </w:tcPr>
          <w:p w:rsidR="00FA5FA5" w:rsidRDefault="00FA5FA5">
            <w:pPr>
              <w:rPr>
                <w:sz w:val="28"/>
              </w:rPr>
            </w:pPr>
          </w:p>
          <w:p w:rsidR="00FA5FA5" w:rsidRDefault="0099413C">
            <w:pPr>
              <w:rPr>
                <w:sz w:val="28"/>
              </w:rPr>
            </w:pPr>
            <w:r>
              <w:rPr>
                <w:sz w:val="28"/>
              </w:rPr>
              <w:t>от 03.09.2019 № 316</w:t>
            </w:r>
          </w:p>
          <w:p w:rsidR="00FA5FA5" w:rsidRDefault="0099413C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210" w:type="dxa"/>
          </w:tcPr>
          <w:p w:rsidR="00FA5FA5" w:rsidRDefault="00FA5FA5">
            <w:pPr>
              <w:rPr>
                <w:sz w:val="28"/>
              </w:rPr>
            </w:pPr>
          </w:p>
        </w:tc>
      </w:tr>
      <w:tr w:rsidR="00FA5FA5">
        <w:tc>
          <w:tcPr>
            <w:tcW w:w="4644" w:type="dxa"/>
            <w:vMerge/>
          </w:tcPr>
          <w:p w:rsidR="00FA5FA5" w:rsidRDefault="00FA5FA5"/>
        </w:tc>
        <w:tc>
          <w:tcPr>
            <w:tcW w:w="5210" w:type="dxa"/>
          </w:tcPr>
          <w:p w:rsidR="00FA5FA5" w:rsidRDefault="00FA5FA5">
            <w:pPr>
              <w:rPr>
                <w:sz w:val="28"/>
              </w:rPr>
            </w:pPr>
          </w:p>
        </w:tc>
      </w:tr>
    </w:tbl>
    <w:p w:rsidR="00FA5FA5" w:rsidRDefault="00FA5FA5">
      <w:pPr>
        <w:rPr>
          <w:b/>
          <w:sz w:val="28"/>
        </w:rPr>
      </w:pPr>
    </w:p>
    <w:p w:rsidR="00FA5FA5" w:rsidRDefault="0099413C">
      <w:pPr>
        <w:jc w:val="center"/>
        <w:rPr>
          <w:b/>
          <w:sz w:val="28"/>
        </w:rPr>
      </w:pPr>
      <w:r>
        <w:rPr>
          <w:b/>
          <w:sz w:val="28"/>
        </w:rPr>
        <w:t>Заключение на проект изменений муниципальной</w:t>
      </w:r>
      <w:r>
        <w:rPr>
          <w:b/>
          <w:sz w:val="28"/>
        </w:rPr>
        <w:t xml:space="preserve"> программы </w:t>
      </w:r>
    </w:p>
    <w:p w:rsidR="00FA5FA5" w:rsidRDefault="0099413C">
      <w:pPr>
        <w:jc w:val="center"/>
        <w:rPr>
          <w:b/>
          <w:sz w:val="28"/>
        </w:rPr>
      </w:pPr>
      <w:r>
        <w:rPr>
          <w:b/>
          <w:sz w:val="28"/>
        </w:rPr>
        <w:t xml:space="preserve">города Нефтеюганска «Развитие жилищно-коммунального комплекса </w:t>
      </w:r>
      <w:r>
        <w:rPr>
          <w:b/>
          <w:sz w:val="28"/>
        </w:rPr>
        <w:br/>
        <w:t>и повышение энергетической эффективности в городе Нефтеюганске»</w:t>
      </w:r>
    </w:p>
    <w:p w:rsidR="00FA5FA5" w:rsidRDefault="00FA5FA5">
      <w:pPr>
        <w:ind w:firstLine="709"/>
        <w:jc w:val="both"/>
        <w:rPr>
          <w:sz w:val="28"/>
        </w:rPr>
      </w:pPr>
    </w:p>
    <w:p w:rsidR="00FA5FA5" w:rsidRDefault="0099413C">
      <w:pPr>
        <w:ind w:firstLine="709"/>
        <w:jc w:val="both"/>
        <w:rPr>
          <w:sz w:val="28"/>
        </w:rPr>
      </w:pPr>
      <w:r>
        <w:rPr>
          <w:sz w:val="28"/>
        </w:rPr>
        <w:t>Счётная палата города Нефтеюганска на основании статьи 157 Бюджетного кодекса Российской Федерации, Положения о Счёт</w:t>
      </w:r>
      <w:r>
        <w:rPr>
          <w:sz w:val="28"/>
        </w:rPr>
        <w:t>ной палате города Нефтеюганска, рассмотрев проект изменений в муниципальную программу города Нефтеюганска «Развитие жилищно-коммунального комплекса и повышение энергетической эффективности в городе Нефтеюганске» (далее по тексту – проект изменений), сообща</w:t>
      </w:r>
      <w:r>
        <w:rPr>
          <w:sz w:val="28"/>
        </w:rPr>
        <w:t>ет следующее:</w:t>
      </w:r>
    </w:p>
    <w:p w:rsidR="00FA5FA5" w:rsidRDefault="0099413C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FA5FA5" w:rsidRDefault="0099413C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</w:t>
      </w:r>
      <w:r>
        <w:rPr>
          <w:sz w:val="28"/>
        </w:rPr>
        <w:t>у Российской Федерации и возможности финансового обеспечения его реализации из бюджета города Нефтеюганска.</w:t>
      </w:r>
    </w:p>
    <w:p w:rsidR="00FA5FA5" w:rsidRDefault="0099413C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FA5FA5" w:rsidRDefault="0099413C">
      <w:pPr>
        <w:ind w:firstLine="709"/>
        <w:jc w:val="both"/>
        <w:rPr>
          <w:sz w:val="28"/>
        </w:rPr>
      </w:pPr>
      <w:r>
        <w:rPr>
          <w:sz w:val="28"/>
        </w:rPr>
        <w:t xml:space="preserve">- проекта изменений Порядку принятия решения о </w:t>
      </w:r>
      <w:r>
        <w:rPr>
          <w:sz w:val="28"/>
        </w:rPr>
        <w:t>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</w:t>
      </w:r>
      <w:r>
        <w:rPr>
          <w:sz w:val="28"/>
        </w:rPr>
        <w:t>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77-нп):</w:t>
      </w:r>
    </w:p>
    <w:p w:rsidR="00FA5FA5" w:rsidRDefault="0099413C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FA5FA5" w:rsidRDefault="0099413C">
      <w:pPr>
        <w:ind w:firstLine="709"/>
        <w:jc w:val="both"/>
        <w:rPr>
          <w:sz w:val="28"/>
        </w:rPr>
      </w:pPr>
      <w:r>
        <w:rPr>
          <w:sz w:val="28"/>
        </w:rPr>
        <w:t>- сроков реализации муниципальной прог</w:t>
      </w:r>
      <w:r>
        <w:rPr>
          <w:sz w:val="28"/>
        </w:rPr>
        <w:t>раммы задачам;</w:t>
      </w:r>
    </w:p>
    <w:p w:rsidR="00FA5FA5" w:rsidRDefault="0099413C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FA5FA5" w:rsidRDefault="0099413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требованиям, установленным нормативными правовыми актами в сфере управления проектной де</w:t>
      </w:r>
      <w:r>
        <w:rPr>
          <w:sz w:val="28"/>
        </w:rPr>
        <w:t>ятельностью.</w:t>
      </w:r>
    </w:p>
    <w:p w:rsidR="00FA5FA5" w:rsidRDefault="0099413C">
      <w:pPr>
        <w:ind w:firstLine="709"/>
        <w:jc w:val="both"/>
        <w:rPr>
          <w:sz w:val="28"/>
        </w:rPr>
      </w:pPr>
      <w:r>
        <w:rPr>
          <w:sz w:val="28"/>
        </w:rPr>
        <w:t>2. В предоставленном проекте изменений указана ссылка на постановление, утратившее силу, а именно постановление администрации города Нефтеюганска от 28.08.2018 № 135-нп «О модельной муниципальной программе города Нефтеюганска, порядке принятия</w:t>
      </w:r>
      <w:r>
        <w:rPr>
          <w:sz w:val="28"/>
        </w:rPr>
        <w:t xml:space="preserve"> решения о разработке муниципальных программ города Нефтеюганска, их формирования, утверждения и реализации».</w:t>
      </w:r>
    </w:p>
    <w:p w:rsidR="00FA5FA5" w:rsidRDefault="0099413C">
      <w:pPr>
        <w:ind w:firstLine="709"/>
        <w:jc w:val="both"/>
        <w:rPr>
          <w:sz w:val="28"/>
        </w:rPr>
      </w:pPr>
      <w:r>
        <w:rPr>
          <w:sz w:val="28"/>
        </w:rPr>
        <w:t>В пункте 1 текстовой части проекта постановления в перечне постановлений администрации города, отсутствует ссылка на постановление администрации г</w:t>
      </w:r>
      <w:r>
        <w:rPr>
          <w:sz w:val="28"/>
        </w:rPr>
        <w:t>орода Нефтеюганска от 19.06.2019 № 480-п.</w:t>
      </w:r>
    </w:p>
    <w:p w:rsidR="00FA5FA5" w:rsidRDefault="0099413C">
      <w:pPr>
        <w:ind w:firstLine="709"/>
        <w:jc w:val="both"/>
        <w:rPr>
          <w:sz w:val="28"/>
        </w:rPr>
      </w:pPr>
      <w:r>
        <w:rPr>
          <w:sz w:val="28"/>
        </w:rPr>
        <w:t>Рекомендуем внести соответствующие изменения в проект изменений.</w:t>
      </w:r>
    </w:p>
    <w:p w:rsidR="00FA5FA5" w:rsidRDefault="0099413C">
      <w:pPr>
        <w:ind w:firstLine="709"/>
        <w:jc w:val="both"/>
        <w:rPr>
          <w:sz w:val="28"/>
        </w:rPr>
      </w:pPr>
      <w:r>
        <w:rPr>
          <w:sz w:val="28"/>
        </w:rPr>
        <w:t>3. Проектом изменений планируется увеличить объём финансирования муниципальной программы в 2019 году на 132 358,95402 тыс. рублей.</w:t>
      </w:r>
    </w:p>
    <w:p w:rsidR="00FA5FA5" w:rsidRDefault="0099413C">
      <w:pPr>
        <w:ind w:firstLine="709"/>
        <w:jc w:val="both"/>
        <w:rPr>
          <w:sz w:val="28"/>
        </w:rPr>
      </w:pPr>
      <w:r>
        <w:rPr>
          <w:sz w:val="28"/>
        </w:rPr>
        <w:t xml:space="preserve">Изменения </w:t>
      </w:r>
      <w:r>
        <w:rPr>
          <w:sz w:val="28"/>
        </w:rPr>
        <w:t>коснулись следующих мероприятий муниципальной программы:</w:t>
      </w:r>
    </w:p>
    <w:p w:rsidR="00FA5FA5" w:rsidRDefault="0099413C">
      <w:pPr>
        <w:ind w:firstLine="709"/>
        <w:jc w:val="both"/>
        <w:rPr>
          <w:sz w:val="28"/>
        </w:rPr>
      </w:pPr>
      <w:r>
        <w:rPr>
          <w:sz w:val="28"/>
        </w:rPr>
        <w:t>3.1. По программному мероприятию «</w:t>
      </w:r>
      <w:r>
        <w:rPr>
          <w:sz w:val="28"/>
        </w:rPr>
        <w:t>Предоставление субсидий организациям коммунального комплекса, предоставляющим коммунальные услуги населению</w:t>
      </w:r>
      <w:r>
        <w:rPr>
          <w:sz w:val="28"/>
        </w:rPr>
        <w:t>» ответственному исполнителю департаменту жилищно-коммунального хозяйства администрации города,</w:t>
      </w:r>
      <w:r>
        <w:rPr>
          <w:sz w:val="28"/>
        </w:rPr>
        <w:t xml:space="preserve"> планируется увеличить объём финансирования за счёт средств местного бюджета на 134 564,587 тыс. рублей в целях финансового обеспечения затрат на приобретение дизельного топлива для обеспечения нормативного неснижаемого </w:t>
      </w:r>
      <w:r>
        <w:rPr>
          <w:sz w:val="28"/>
        </w:rPr>
        <w:t>запаса топлива на источниках тепловой энергии г. Нефтеюганска (ЦК-1, ЦК-2 и котельная СУ-62).</w:t>
      </w:r>
    </w:p>
    <w:p w:rsidR="00FA5FA5" w:rsidRDefault="0099413C">
      <w:pPr>
        <w:ind w:firstLine="709"/>
        <w:jc w:val="both"/>
        <w:rPr>
          <w:sz w:val="28"/>
        </w:rPr>
      </w:pPr>
      <w:r>
        <w:rPr>
          <w:sz w:val="28"/>
        </w:rPr>
        <w:t>3.2. По программному мероприятию «Реализация энергосберегающих мероприятий в муниципальном секторе»</w:t>
      </w:r>
      <w:r>
        <w:t xml:space="preserve"> </w:t>
      </w:r>
      <w:r>
        <w:rPr>
          <w:sz w:val="28"/>
        </w:rPr>
        <w:t>планируется увеличить объём финансирования на 244,456 тыс. руб</w:t>
      </w:r>
      <w:r>
        <w:rPr>
          <w:sz w:val="28"/>
        </w:rPr>
        <w:t>лей департаменту образования и молодёжной политики администрации города Нефтеюганска, в том числе:</w:t>
      </w:r>
    </w:p>
    <w:p w:rsidR="00FA5FA5" w:rsidRDefault="0099413C">
      <w:pPr>
        <w:ind w:firstLine="709"/>
        <w:jc w:val="both"/>
        <w:rPr>
          <w:sz w:val="28"/>
        </w:rPr>
      </w:pPr>
      <w:r>
        <w:rPr>
          <w:sz w:val="28"/>
        </w:rPr>
        <w:t>- МБОУ «Средняя общеобразовательная школа № 6» за счёт средств местного бюджета в связи с необходимостью приобретения клапана для системы теплоснабжения на с</w:t>
      </w:r>
      <w:r>
        <w:rPr>
          <w:sz w:val="28"/>
        </w:rPr>
        <w:t>умму 35,000 тыс. рублей;</w:t>
      </w:r>
    </w:p>
    <w:p w:rsidR="00FA5FA5" w:rsidRDefault="0099413C">
      <w:pPr>
        <w:ind w:firstLine="709"/>
        <w:jc w:val="both"/>
        <w:rPr>
          <w:sz w:val="28"/>
        </w:rPr>
      </w:pPr>
      <w:r>
        <w:rPr>
          <w:sz w:val="28"/>
        </w:rPr>
        <w:t>- МБОУ «Средняя общеобразовательная школа № 14» за счёт ранее выделенных средств ООО «РН-Юганс</w:t>
      </w:r>
      <w:bookmarkStart w:id="0" w:name="_GoBack"/>
      <w:bookmarkEnd w:id="0"/>
      <w:r>
        <w:rPr>
          <w:sz w:val="28"/>
        </w:rPr>
        <w:t>кнефтегаз» для приобретения светодиодных светильников на сумму 209,456 тыс. рублей.</w:t>
      </w:r>
    </w:p>
    <w:p w:rsidR="00FA5FA5" w:rsidRDefault="0099413C">
      <w:pPr>
        <w:ind w:firstLine="709"/>
        <w:jc w:val="both"/>
        <w:rPr>
          <w:sz w:val="28"/>
        </w:rPr>
      </w:pPr>
      <w:r>
        <w:rPr>
          <w:sz w:val="28"/>
        </w:rPr>
        <w:t>3.3. По программному мероприятию «Улучшение санитарно</w:t>
      </w:r>
      <w:r>
        <w:rPr>
          <w:sz w:val="28"/>
        </w:rPr>
        <w:t>го состояния городских территорий» департаменту жилищно-коммунального хозяйства администрации города увеличить бюджетные ассигнования в 2019 году на сумму 1 680,000 тыс. рублей за счёт средств автономного округа, а именно на:</w:t>
      </w:r>
    </w:p>
    <w:p w:rsidR="00FA5FA5" w:rsidRDefault="0099413C">
      <w:pPr>
        <w:ind w:firstLine="709"/>
        <w:jc w:val="both"/>
        <w:rPr>
          <w:sz w:val="28"/>
        </w:rPr>
      </w:pPr>
      <w:r>
        <w:rPr>
          <w:sz w:val="28"/>
        </w:rPr>
        <w:t>-   приобретение контейнеров в</w:t>
      </w:r>
      <w:r>
        <w:rPr>
          <w:sz w:val="28"/>
        </w:rPr>
        <w:t xml:space="preserve"> сумме 571,000 тыс. </w:t>
      </w:r>
      <w:r>
        <w:rPr>
          <w:sz w:val="28"/>
        </w:rPr>
        <w:t xml:space="preserve">рублей; </w:t>
      </w:r>
    </w:p>
    <w:p w:rsidR="00FA5FA5" w:rsidRDefault="0099413C">
      <w:pPr>
        <w:ind w:firstLine="709"/>
        <w:jc w:val="both"/>
        <w:rPr>
          <w:sz w:val="28"/>
        </w:rPr>
      </w:pPr>
      <w:r>
        <w:rPr>
          <w:sz w:val="28"/>
        </w:rPr>
        <w:t xml:space="preserve">- обустройство мест (площадок) накопления твёрдых коммунальных отходов в сумме 1 109,000 тыс. </w:t>
      </w:r>
      <w:r>
        <w:rPr>
          <w:sz w:val="28"/>
        </w:rPr>
        <w:t>рублей.</w:t>
      </w:r>
    </w:p>
    <w:p w:rsidR="00FA5FA5" w:rsidRDefault="0099413C">
      <w:pPr>
        <w:ind w:firstLine="709"/>
        <w:jc w:val="both"/>
        <w:rPr>
          <w:sz w:val="28"/>
        </w:rPr>
      </w:pPr>
      <w:r>
        <w:rPr>
          <w:sz w:val="28"/>
        </w:rPr>
        <w:t>3.4. По программному мероприятию «Федеральный проект «Формирование комфортной городской среды» департаменту жилищно-коммунально</w:t>
      </w:r>
      <w:r>
        <w:rPr>
          <w:sz w:val="28"/>
        </w:rPr>
        <w:t xml:space="preserve">го хозяйства администрации города Нефтеюганска планируется уменьшить объём финансирования на благоустройство общественной территории 3 микрорайона (мемориальная и культурно-досуговая зона) в </w:t>
      </w:r>
      <w:r>
        <w:rPr>
          <w:sz w:val="28"/>
        </w:rPr>
        <w:lastRenderedPageBreak/>
        <w:t>рамках реализации проекта «Формирование комфортной городской сред</w:t>
      </w:r>
      <w:r>
        <w:rPr>
          <w:sz w:val="28"/>
        </w:rPr>
        <w:t xml:space="preserve">ы»  в связи с невыполнением работ подрядной организацией, осуществляющей подготовку проектно-сметной документации, в срок, установленный соглашением о предоставлении субсидии, в общей сумме 14 237,79198 тыс. </w:t>
      </w:r>
      <w:r>
        <w:rPr>
          <w:sz w:val="28"/>
        </w:rPr>
        <w:t>рублей, в том числе за счёт средств:</w:t>
      </w:r>
    </w:p>
    <w:p w:rsidR="00FA5FA5" w:rsidRDefault="0099413C">
      <w:pPr>
        <w:ind w:firstLine="567"/>
        <w:jc w:val="both"/>
        <w:rPr>
          <w:sz w:val="28"/>
        </w:rPr>
      </w:pPr>
      <w:r>
        <w:rPr>
          <w:sz w:val="28"/>
        </w:rPr>
        <w:t xml:space="preserve">- федерального бюджета в сумме 5 552,73887 тыс. </w:t>
      </w:r>
      <w:r>
        <w:rPr>
          <w:sz w:val="28"/>
        </w:rPr>
        <w:t>рублей;</w:t>
      </w:r>
    </w:p>
    <w:p w:rsidR="00FA5FA5" w:rsidRDefault="0099413C">
      <w:pPr>
        <w:ind w:firstLine="567"/>
        <w:jc w:val="both"/>
        <w:rPr>
          <w:color w:val="FF0000"/>
          <w:sz w:val="28"/>
        </w:rPr>
      </w:pPr>
      <w:r>
        <w:rPr>
          <w:sz w:val="28"/>
        </w:rPr>
        <w:t xml:space="preserve">- бюджета автономного округа в сумме 8 685,05311 тыс. </w:t>
      </w:r>
      <w:r>
        <w:rPr>
          <w:sz w:val="28"/>
        </w:rPr>
        <w:t>рублей.</w:t>
      </w:r>
    </w:p>
    <w:p w:rsidR="00FA5FA5" w:rsidRDefault="0099413C">
      <w:pPr>
        <w:ind w:firstLine="567"/>
        <w:jc w:val="both"/>
        <w:rPr>
          <w:sz w:val="28"/>
        </w:rPr>
      </w:pPr>
      <w:r>
        <w:rPr>
          <w:sz w:val="28"/>
        </w:rPr>
        <w:t xml:space="preserve">При этом, не предусмотрены изменения в таблицы и приложение муниципальной программы. </w:t>
      </w:r>
    </w:p>
    <w:p w:rsidR="00FA5FA5" w:rsidRDefault="0099413C">
      <w:pPr>
        <w:ind w:firstLine="567"/>
        <w:jc w:val="both"/>
        <w:rPr>
          <w:sz w:val="28"/>
        </w:rPr>
      </w:pPr>
      <w:r>
        <w:rPr>
          <w:sz w:val="28"/>
        </w:rPr>
        <w:t xml:space="preserve">Рекомендуем внести соответствующие изменения в проект </w:t>
      </w:r>
      <w:r>
        <w:rPr>
          <w:sz w:val="28"/>
        </w:rPr>
        <w:t>изменений.</w:t>
      </w:r>
    </w:p>
    <w:p w:rsidR="00FA5FA5" w:rsidRDefault="0099413C">
      <w:pPr>
        <w:ind w:firstLine="567"/>
        <w:jc w:val="both"/>
        <w:rPr>
          <w:color w:val="FF0000"/>
          <w:sz w:val="28"/>
        </w:rPr>
      </w:pPr>
      <w:r>
        <w:rPr>
          <w:sz w:val="28"/>
        </w:rPr>
        <w:t>3.5. По программному мероприятию «Организационное обеспечение функционирования отрасли» департаменту жилищно-коммунального хозяйства администрации города Нефтеюганска планируется увеличить объём финансирования за счёт средств местного бюджета на</w:t>
      </w:r>
      <w:r>
        <w:rPr>
          <w:sz w:val="28"/>
        </w:rPr>
        <w:t xml:space="preserve"> 10 107,703 тыс. рублей на содержание НГ МКУ «Реквием» реорганизованного на основании постановления администрации города Нефтеюганска от 27.03.2019 № 133-п </w:t>
      </w:r>
      <w:r>
        <w:rPr>
          <w:sz w:val="28"/>
        </w:rPr>
        <w:br/>
      </w:r>
      <w:r>
        <w:rPr>
          <w:sz w:val="28"/>
        </w:rPr>
        <w:t>«О реорганизации Нефтеюганского городского муниципального унитарного предприятия «Реквием» в форме п</w:t>
      </w:r>
      <w:r>
        <w:rPr>
          <w:sz w:val="28"/>
        </w:rPr>
        <w:t>реобразования в Нефтеюганское городское муниципальное казенное учреждение «Реквием».</w:t>
      </w:r>
    </w:p>
    <w:p w:rsidR="00FA5FA5" w:rsidRDefault="0099413C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В ходе экспертизы расходов НГ МКУ «Реквием» установлено:</w:t>
      </w:r>
    </w:p>
    <w:p w:rsidR="00FA5FA5" w:rsidRDefault="0099413C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sz w:val="28"/>
        </w:rPr>
        <w:t>в нарушение</w:t>
      </w:r>
      <w:r>
        <w:rPr>
          <w:sz w:val="28"/>
        </w:rPr>
        <w:t xml:space="preserve"> пункта 10 </w:t>
      </w:r>
      <w:hyperlink w:anchor="Par70" w:history="1">
        <w:r>
          <w:rPr>
            <w:sz w:val="28"/>
          </w:rPr>
          <w:t>Положени</w:t>
        </w:r>
      </w:hyperlink>
      <w:r>
        <w:rPr>
          <w:sz w:val="28"/>
        </w:rPr>
        <w:t>я о размерах и условиях оплаты труда работников муниципаль</w:t>
      </w:r>
      <w:r>
        <w:rPr>
          <w:sz w:val="28"/>
        </w:rPr>
        <w:t>ных казённых учреждений города Нефтеюганска, утверждённого постановлением администрации города от 11.05.2017 № 86-нп, должностные оклады заместителя директора и главного бухгалтера не предусмотрены на 20% ниже должностного оклада директора учреждения, в ре</w:t>
      </w:r>
      <w:r>
        <w:rPr>
          <w:sz w:val="28"/>
        </w:rPr>
        <w:t>зультате завышен расчёт заработной платы и начислений на выплаты по оплате труда на 78,258 тыс. рублей;</w:t>
      </w:r>
    </w:p>
    <w:p w:rsidR="00FA5FA5" w:rsidRDefault="0099413C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2) предоставленный расчёт на услуги связи содержит арифметическую ошибку, что привело к завышению суммы расходов на 0,976 тыс. рублей.</w:t>
      </w:r>
    </w:p>
    <w:p w:rsidR="00FA5FA5" w:rsidRDefault="0099413C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На основании выше</w:t>
      </w:r>
      <w:r>
        <w:rPr>
          <w:sz w:val="28"/>
        </w:rPr>
        <w:t xml:space="preserve">изложенного, рекомендуем исключить необоснованно планируемые расходы в общей сумме </w:t>
      </w:r>
      <w:r>
        <w:rPr>
          <w:color w:val="000000" w:themeColor="text1"/>
          <w:sz w:val="28"/>
        </w:rPr>
        <w:t xml:space="preserve">79,234 тыс. рублей.  </w:t>
      </w:r>
    </w:p>
    <w:p w:rsidR="00FA5FA5" w:rsidRDefault="0099413C">
      <w:pPr>
        <w:ind w:firstLine="709"/>
        <w:jc w:val="both"/>
        <w:rPr>
          <w:sz w:val="28"/>
        </w:rPr>
      </w:pPr>
      <w:r>
        <w:rPr>
          <w:sz w:val="28"/>
        </w:rPr>
        <w:t>4. По итогам проведения финансово-экономической экспертизы, предлагаем направить проект изменений на утверждение с учётом рекомендаций, отражённых в на</w:t>
      </w:r>
      <w:r>
        <w:rPr>
          <w:sz w:val="28"/>
        </w:rPr>
        <w:t xml:space="preserve">стоящем заключении. </w:t>
      </w:r>
    </w:p>
    <w:p w:rsidR="00FA5FA5" w:rsidRDefault="0099413C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  <w:highlight w:val="white"/>
        </w:rPr>
        <w:t xml:space="preserve">Информацию о решениях, принятых по результатам рассмотрения настоящего </w:t>
      </w:r>
      <w:r>
        <w:rPr>
          <w:sz w:val="28"/>
        </w:rPr>
        <w:t>заключении</w:t>
      </w:r>
      <w:r>
        <w:rPr>
          <w:sz w:val="28"/>
          <w:highlight w:val="white"/>
        </w:rPr>
        <w:t>, направить в адрес Счётной палаты до 09.09.2019 года.</w:t>
      </w:r>
    </w:p>
    <w:p w:rsidR="00FA5FA5" w:rsidRDefault="00FA5FA5">
      <w:pPr>
        <w:ind w:firstLine="709"/>
        <w:jc w:val="both"/>
        <w:rPr>
          <w:sz w:val="28"/>
        </w:rPr>
      </w:pPr>
    </w:p>
    <w:p w:rsidR="00FA5FA5" w:rsidRDefault="00FA5FA5">
      <w:pPr>
        <w:ind w:firstLine="709"/>
        <w:jc w:val="both"/>
        <w:rPr>
          <w:sz w:val="28"/>
        </w:rPr>
      </w:pPr>
    </w:p>
    <w:p w:rsidR="00FA5FA5" w:rsidRDefault="00FA5FA5">
      <w:pPr>
        <w:ind w:firstLine="709"/>
        <w:jc w:val="both"/>
        <w:rPr>
          <w:sz w:val="28"/>
        </w:rPr>
      </w:pPr>
    </w:p>
    <w:p w:rsidR="00FA5FA5" w:rsidRDefault="0099413C">
      <w:pPr>
        <w:jc w:val="both"/>
        <w:rPr>
          <w:sz w:val="28"/>
        </w:rPr>
      </w:pPr>
      <w:r>
        <w:rPr>
          <w:sz w:val="28"/>
        </w:rPr>
        <w:t>Заместитель председателя                                                              Э.Н. Хусн</w:t>
      </w:r>
      <w:r>
        <w:rPr>
          <w:sz w:val="28"/>
        </w:rPr>
        <w:t>уллина</w:t>
      </w:r>
    </w:p>
    <w:p w:rsidR="00FA5FA5" w:rsidRDefault="00FA5FA5">
      <w:pPr>
        <w:ind w:firstLine="709"/>
        <w:jc w:val="both"/>
        <w:rPr>
          <w:sz w:val="16"/>
        </w:rPr>
      </w:pPr>
    </w:p>
    <w:p w:rsidR="00FA5FA5" w:rsidRDefault="00FA5FA5">
      <w:pPr>
        <w:ind w:firstLine="709"/>
        <w:jc w:val="both"/>
        <w:rPr>
          <w:sz w:val="16"/>
        </w:rPr>
      </w:pPr>
    </w:p>
    <w:p w:rsidR="00FA5FA5" w:rsidRDefault="00FA5FA5">
      <w:pPr>
        <w:ind w:firstLine="709"/>
        <w:jc w:val="both"/>
        <w:rPr>
          <w:sz w:val="16"/>
        </w:rPr>
      </w:pPr>
    </w:p>
    <w:p w:rsidR="00FA5FA5" w:rsidRDefault="00FA5FA5">
      <w:pPr>
        <w:ind w:firstLine="709"/>
        <w:jc w:val="both"/>
        <w:rPr>
          <w:sz w:val="16"/>
        </w:rPr>
      </w:pPr>
    </w:p>
    <w:p w:rsidR="00FA5FA5" w:rsidRDefault="00FA5FA5">
      <w:pPr>
        <w:jc w:val="both"/>
        <w:rPr>
          <w:sz w:val="16"/>
        </w:rPr>
      </w:pPr>
    </w:p>
    <w:sectPr w:rsidR="00FA5FA5">
      <w:headerReference w:type="default" r:id="rId9"/>
      <w:pgSz w:w="11906" w:h="16838"/>
      <w:pgMar w:top="1134" w:right="567" w:bottom="851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9413C">
      <w:r>
        <w:separator/>
      </w:r>
    </w:p>
  </w:endnote>
  <w:endnote w:type="continuationSeparator" w:id="0">
    <w:p w:rsidR="00000000" w:rsidRDefault="0099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9413C">
      <w:r>
        <w:separator/>
      </w:r>
    </w:p>
  </w:footnote>
  <w:footnote w:type="continuationSeparator" w:id="0">
    <w:p w:rsidR="00000000" w:rsidRDefault="0099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FA5" w:rsidRDefault="0099413C">
    <w:pPr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A5FA5" w:rsidRDefault="00FA5FA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FA5"/>
    <w:rsid w:val="0099413C"/>
    <w:rsid w:val="00FA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ED45"/>
  <w15:docId w15:val="{2F278BE0-E571-4EBA-A512-0955B8C8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"/>
    <w:basedOn w:val="1"/>
    <w:link w:val="a3"/>
    <w:rPr>
      <w:rFonts w:ascii="Verdana" w:hAnsi="Verdana"/>
      <w:sz w:val="20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Знак Знак Знак Знак Знак Знак Знак Знак Знак1 Знак"/>
    <w:basedOn w:val="a"/>
    <w:link w:val="15"/>
    <w:pPr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 Знак Знак Знак Знак Знак Знак Знак1 Знак"/>
    <w:basedOn w:val="1"/>
    <w:link w:val="14"/>
    <w:rPr>
      <w:rFonts w:ascii="Verdana" w:hAnsi="Verdana"/>
      <w:sz w:val="20"/>
    </w:rPr>
  </w:style>
  <w:style w:type="paragraph" w:styleId="23">
    <w:name w:val="Body Text 2"/>
    <w:basedOn w:val="a"/>
    <w:link w:val="24"/>
    <w:rPr>
      <w:sz w:val="28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ConsPlusTitle">
    <w:name w:val="ConsPlusTitle"/>
    <w:link w:val="ConsPlusTitle0"/>
    <w:rPr>
      <w:b/>
      <w:sz w:val="26"/>
    </w:rPr>
  </w:style>
  <w:style w:type="character" w:customStyle="1" w:styleId="ConsPlusTitle0">
    <w:name w:val="ConsPlusTitle"/>
    <w:link w:val="ConsPlusTitle"/>
    <w:rPr>
      <w:b/>
      <w:sz w:val="26"/>
    </w:rPr>
  </w:style>
  <w:style w:type="paragraph" w:customStyle="1" w:styleId="16">
    <w:name w:val="Выделение1"/>
    <w:link w:val="a8"/>
    <w:rPr>
      <w:i/>
    </w:rPr>
  </w:style>
  <w:style w:type="character" w:styleId="a8">
    <w:name w:val="Emphasis"/>
    <w:link w:val="16"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  <w:link w:val="a9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iceouttxt4">
    <w:name w:val="iceouttxt4"/>
    <w:basedOn w:val="13"/>
    <w:link w:val="iceouttxt40"/>
  </w:style>
  <w:style w:type="character" w:customStyle="1" w:styleId="iceouttxt40">
    <w:name w:val="iceouttxt4"/>
    <w:basedOn w:val="a0"/>
    <w:link w:val="iceouttxt4"/>
  </w:style>
  <w:style w:type="paragraph" w:customStyle="1" w:styleId="ab">
    <w:name w:val="Знак Знак Знак Знак Знак Знак Знак Знак Знак 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 Знак Знак Знак Знак Знак Знак Знак"/>
    <w:basedOn w:val="1"/>
    <w:link w:val="ab"/>
    <w:rPr>
      <w:rFonts w:ascii="Verdana" w:hAnsi="Verdana"/>
      <w:sz w:val="20"/>
    </w:rPr>
  </w:style>
  <w:style w:type="paragraph" w:styleId="ad">
    <w:name w:val="Body Text"/>
    <w:basedOn w:val="a"/>
    <w:link w:val="ae"/>
    <w:rPr>
      <w:i/>
      <w:sz w:val="20"/>
    </w:rPr>
  </w:style>
  <w:style w:type="character" w:customStyle="1" w:styleId="ae">
    <w:name w:val="Основной текст Знак"/>
    <w:basedOn w:val="1"/>
    <w:link w:val="ad"/>
    <w:rPr>
      <w:i/>
      <w:sz w:val="20"/>
    </w:rPr>
  </w:style>
  <w:style w:type="paragraph" w:customStyle="1" w:styleId="af">
    <w:name w:val="Знак Знак Знак 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 Знак Знак Знак"/>
    <w:basedOn w:val="1"/>
    <w:link w:val="af"/>
    <w:rPr>
      <w:rFonts w:ascii="Verdana" w:hAnsi="Verdana"/>
      <w:sz w:val="20"/>
    </w:rPr>
  </w:style>
  <w:style w:type="paragraph" w:styleId="af1">
    <w:name w:val="No Spacing"/>
    <w:link w:val="af2"/>
    <w:rPr>
      <w:sz w:val="24"/>
    </w:rPr>
  </w:style>
  <w:style w:type="character" w:customStyle="1" w:styleId="af2">
    <w:name w:val="Без интервала Знак"/>
    <w:link w:val="af1"/>
    <w:rPr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17">
    <w:name w:val="Строгий1"/>
    <w:link w:val="af3"/>
    <w:rPr>
      <w:b/>
    </w:rPr>
  </w:style>
  <w:style w:type="character" w:styleId="af3">
    <w:name w:val="Strong"/>
    <w:link w:val="17"/>
    <w:rPr>
      <w:b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f6"/>
    <w:rPr>
      <w:color w:val="0000FF"/>
      <w:u w:val="single"/>
    </w:rPr>
  </w:style>
  <w:style w:type="character" w:styleId="af6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9">
    <w:name w:val="toc 1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b">
    <w:name w:val="Без интервала1"/>
    <w:link w:val="1c"/>
    <w:rPr>
      <w:rFonts w:ascii="Calibri" w:hAnsi="Calibri"/>
      <w:sz w:val="22"/>
    </w:rPr>
  </w:style>
  <w:style w:type="character" w:customStyle="1" w:styleId="1c">
    <w:name w:val="Без интервала1"/>
    <w:link w:val="1b"/>
    <w:rPr>
      <w:rFonts w:ascii="Calibri" w:hAnsi="Calibri"/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7">
    <w:name w:val="Subtitle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9">
    <w:name w:val="Title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Заголовок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b">
    <w:name w:val="Balloon Text"/>
    <w:basedOn w:val="a"/>
    <w:link w:val="afc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Pr>
      <w:rFonts w:ascii="Tahoma" w:hAnsi="Tahoma"/>
      <w:sz w:val="16"/>
    </w:rPr>
  </w:style>
  <w:style w:type="paragraph" w:customStyle="1" w:styleId="afd">
    <w:name w:val="Знак Знак Знак Знак Знак Знак Знак"/>
    <w:basedOn w:val="a"/>
    <w:link w:val="afe"/>
    <w:pPr>
      <w:spacing w:after="160" w:line="240" w:lineRule="exact"/>
    </w:pPr>
    <w:rPr>
      <w:rFonts w:ascii="Verdana" w:hAnsi="Verdana"/>
      <w:sz w:val="20"/>
    </w:rPr>
  </w:style>
  <w:style w:type="character" w:customStyle="1" w:styleId="afe">
    <w:name w:val="Знак Знак Знак Знак Знак Знак Знак"/>
    <w:basedOn w:val="1"/>
    <w:link w:val="afd"/>
    <w:rPr>
      <w:rFonts w:ascii="Verdana" w:hAnsi="Verdana"/>
      <w:sz w:val="20"/>
    </w:rPr>
  </w:style>
  <w:style w:type="paragraph" w:styleId="aff">
    <w:name w:val="List Paragraph"/>
    <w:basedOn w:val="a"/>
    <w:link w:val="aff0"/>
    <w:pPr>
      <w:ind w:left="720"/>
      <w:contextualSpacing/>
    </w:pPr>
  </w:style>
  <w:style w:type="character" w:customStyle="1" w:styleId="aff0">
    <w:name w:val="Абзац списка Знак"/>
    <w:basedOn w:val="1"/>
    <w:link w:val="aff"/>
    <w:rPr>
      <w:sz w:val="24"/>
    </w:r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augan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-ugans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1090</Words>
  <Characters>6215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TatarinovaOA</cp:lastModifiedBy>
  <cp:revision>2</cp:revision>
  <dcterms:created xsi:type="dcterms:W3CDTF">2019-12-26T12:00:00Z</dcterms:created>
  <dcterms:modified xsi:type="dcterms:W3CDTF">2019-12-26T12:02:00Z</dcterms:modified>
</cp:coreProperties>
</file>