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C8E6B" w14:textId="77777777" w:rsidR="00880982" w:rsidRPr="00326023" w:rsidRDefault="00880982" w:rsidP="00F61527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>Приложение к заключению</w:t>
      </w:r>
    </w:p>
    <w:p w14:paraId="26EC8E6C" w14:textId="77777777" w:rsidR="001D1FD0" w:rsidRPr="00326023" w:rsidRDefault="00880982" w:rsidP="00F61527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>о результатах публичных</w:t>
      </w:r>
      <w:r w:rsidR="001D1FD0" w:rsidRPr="00326023">
        <w:rPr>
          <w:i/>
          <w:spacing w:val="2"/>
          <w:sz w:val="28"/>
          <w:szCs w:val="28"/>
        </w:rPr>
        <w:t xml:space="preserve"> слушаний</w:t>
      </w:r>
    </w:p>
    <w:p w14:paraId="26EC8E6D" w14:textId="77777777" w:rsidR="00880982" w:rsidRPr="008D5A2A" w:rsidRDefault="005A70EE" w:rsidP="00F61527">
      <w:pPr>
        <w:tabs>
          <w:tab w:val="left" w:pos="5670"/>
        </w:tabs>
        <w:ind w:firstLine="9781"/>
        <w:jc w:val="both"/>
        <w:rPr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 xml:space="preserve">от </w:t>
      </w:r>
      <w:r w:rsidR="00DF066B">
        <w:rPr>
          <w:i/>
          <w:spacing w:val="2"/>
          <w:sz w:val="28"/>
          <w:szCs w:val="28"/>
        </w:rPr>
        <w:t>24.09</w:t>
      </w:r>
      <w:r w:rsidR="00326023" w:rsidRPr="00326023">
        <w:rPr>
          <w:i/>
          <w:spacing w:val="2"/>
          <w:sz w:val="28"/>
          <w:szCs w:val="28"/>
        </w:rPr>
        <w:t>.2019 №</w:t>
      </w:r>
      <w:r w:rsidR="000F345B">
        <w:rPr>
          <w:i/>
          <w:spacing w:val="2"/>
          <w:sz w:val="28"/>
          <w:szCs w:val="28"/>
        </w:rPr>
        <w:t xml:space="preserve"> </w:t>
      </w:r>
      <w:r w:rsidR="00326023" w:rsidRPr="00326023">
        <w:rPr>
          <w:i/>
          <w:spacing w:val="2"/>
          <w:sz w:val="28"/>
          <w:szCs w:val="28"/>
        </w:rPr>
        <w:t>10</w:t>
      </w:r>
      <w:r w:rsidR="008137DC">
        <w:rPr>
          <w:i/>
          <w:spacing w:val="2"/>
          <w:sz w:val="28"/>
          <w:szCs w:val="28"/>
        </w:rPr>
        <w:t>8</w:t>
      </w:r>
    </w:p>
    <w:p w14:paraId="26EC8E6E" w14:textId="77777777" w:rsidR="00880982" w:rsidRPr="00F61527" w:rsidRDefault="00880982" w:rsidP="00880982">
      <w:pPr>
        <w:tabs>
          <w:tab w:val="left" w:pos="5670"/>
        </w:tabs>
        <w:jc w:val="right"/>
        <w:rPr>
          <w:spacing w:val="2"/>
          <w:sz w:val="10"/>
          <w:szCs w:val="10"/>
        </w:rPr>
      </w:pPr>
    </w:p>
    <w:p w14:paraId="26EC8E6F" w14:textId="77777777" w:rsidR="009C6828" w:rsidRDefault="00880982" w:rsidP="00326023">
      <w:pPr>
        <w:tabs>
          <w:tab w:val="left" w:pos="5670"/>
        </w:tabs>
        <w:jc w:val="center"/>
        <w:rPr>
          <w:i/>
          <w:spacing w:val="2"/>
        </w:rPr>
      </w:pPr>
      <w:r w:rsidRPr="008D5A2A">
        <w:rPr>
          <w:spacing w:val="2"/>
        </w:rPr>
        <w:t xml:space="preserve">Предложения и замечания участников публичных слушаний, </w:t>
      </w:r>
      <w:r w:rsidRPr="000F345B">
        <w:rPr>
          <w:spacing w:val="2"/>
        </w:rPr>
        <w:t xml:space="preserve">поступившие в ходе </w:t>
      </w:r>
      <w:r w:rsidR="000F345B" w:rsidRPr="000F345B">
        <w:rPr>
          <w:spacing w:val="2"/>
        </w:rPr>
        <w:t xml:space="preserve">проведения </w:t>
      </w:r>
      <w:r w:rsidRPr="000F345B">
        <w:rPr>
          <w:spacing w:val="2"/>
        </w:rPr>
        <w:t>публичных слушаний</w:t>
      </w:r>
      <w:r w:rsidR="00326023" w:rsidRPr="000F345B">
        <w:rPr>
          <w:i/>
          <w:spacing w:val="2"/>
        </w:rPr>
        <w:t xml:space="preserve"> </w:t>
      </w:r>
    </w:p>
    <w:p w14:paraId="26EC8E70" w14:textId="77777777" w:rsidR="004C34F5" w:rsidRPr="00326023" w:rsidRDefault="00BC601D" w:rsidP="00326023">
      <w:pPr>
        <w:tabs>
          <w:tab w:val="left" w:pos="5670"/>
        </w:tabs>
        <w:jc w:val="center"/>
        <w:rPr>
          <w:spacing w:val="2"/>
        </w:rPr>
      </w:pPr>
      <w:r w:rsidRPr="00BC601D">
        <w:rPr>
          <w:spacing w:val="2"/>
        </w:rPr>
        <w:t>п</w:t>
      </w:r>
      <w:r w:rsidR="00326023" w:rsidRPr="00BC601D">
        <w:rPr>
          <w:spacing w:val="2"/>
        </w:rPr>
        <w:t>о</w:t>
      </w:r>
      <w:r w:rsidR="00326023" w:rsidRPr="00326023">
        <w:rPr>
          <w:spacing w:val="2"/>
        </w:rPr>
        <w:t xml:space="preserve"> проекту</w:t>
      </w:r>
      <w:r w:rsidR="009C6828">
        <w:rPr>
          <w:spacing w:val="2"/>
        </w:rPr>
        <w:t xml:space="preserve"> </w:t>
      </w:r>
      <w:r w:rsidR="000F345B">
        <w:rPr>
          <w:spacing w:val="2"/>
        </w:rPr>
        <w:t xml:space="preserve">о внесении изменений в </w:t>
      </w:r>
      <w:r w:rsidR="00B8457B">
        <w:rPr>
          <w:spacing w:val="2"/>
        </w:rPr>
        <w:t>документ территориального планирования «Генеральный план города Нефтеюганска»</w:t>
      </w:r>
    </w:p>
    <w:tbl>
      <w:tblPr>
        <w:tblpPr w:leftFromText="180" w:rightFromText="180" w:vertAnchor="text" w:horzAnchor="margin" w:tblpY="14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2479"/>
        <w:gridCol w:w="6636"/>
        <w:gridCol w:w="4845"/>
      </w:tblGrid>
      <w:tr w:rsidR="00896753" w14:paraId="26EC8E77" w14:textId="77777777" w:rsidTr="00B63B3A">
        <w:trPr>
          <w:trHeight w:val="841"/>
        </w:trPr>
        <w:tc>
          <w:tcPr>
            <w:tcW w:w="890" w:type="dxa"/>
            <w:shd w:val="clear" w:color="auto" w:fill="auto"/>
            <w:vAlign w:val="center"/>
          </w:tcPr>
          <w:p w14:paraId="26EC8E71" w14:textId="77777777" w:rsidR="00896753" w:rsidRDefault="00896753" w:rsidP="00896753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Номер </w:t>
            </w:r>
          </w:p>
          <w:p w14:paraId="26EC8E72" w14:textId="77777777" w:rsidR="00896753" w:rsidRPr="0067360D" w:rsidRDefault="00896753" w:rsidP="00896753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proofErr w:type="gramStart"/>
            <w:r>
              <w:rPr>
                <w:rFonts w:eastAsia="Calibri"/>
                <w:bCs/>
                <w:i/>
                <w:lang w:eastAsia="en-US"/>
              </w:rPr>
              <w:t>п</w:t>
            </w:r>
            <w:proofErr w:type="gramEnd"/>
            <w:r>
              <w:rPr>
                <w:rFonts w:eastAsia="Calibri"/>
                <w:bCs/>
                <w:i/>
                <w:lang w:eastAsia="en-US"/>
              </w:rPr>
              <w:t xml:space="preserve">/п </w:t>
            </w:r>
          </w:p>
        </w:tc>
        <w:tc>
          <w:tcPr>
            <w:tcW w:w="2479" w:type="dxa"/>
          </w:tcPr>
          <w:p w14:paraId="26EC8E73" w14:textId="77777777" w:rsidR="00896753" w:rsidRPr="000540E0" w:rsidRDefault="00896753" w:rsidP="006B4655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Номер карточек участников публичных слушаний</w:t>
            </w:r>
          </w:p>
        </w:tc>
        <w:tc>
          <w:tcPr>
            <w:tcW w:w="6636" w:type="dxa"/>
            <w:vAlign w:val="center"/>
          </w:tcPr>
          <w:p w14:paraId="26EC8E74" w14:textId="77777777" w:rsidR="00896753" w:rsidRPr="000540E0" w:rsidRDefault="00C25888" w:rsidP="006B4655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color w:val="000000"/>
                <w:lang w:eastAsia="en-US"/>
              </w:rPr>
              <w:t>*</w:t>
            </w:r>
            <w:r w:rsidR="00896753" w:rsidRPr="000540E0">
              <w:rPr>
                <w:rFonts w:eastAsia="Calibri"/>
                <w:bCs/>
                <w:i/>
                <w:color w:val="000000"/>
                <w:lang w:eastAsia="en-US"/>
              </w:rPr>
              <w:t>Предложения и замечания</w:t>
            </w:r>
          </w:p>
        </w:tc>
        <w:tc>
          <w:tcPr>
            <w:tcW w:w="4845" w:type="dxa"/>
            <w:vAlign w:val="center"/>
          </w:tcPr>
          <w:p w14:paraId="26EC8E75" w14:textId="77777777" w:rsidR="00896753" w:rsidRPr="0067360D" w:rsidRDefault="00896753" w:rsidP="003B7375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 w:rsidRPr="0067360D">
              <w:rPr>
                <w:rFonts w:eastAsia="Calibri"/>
                <w:bCs/>
                <w:i/>
                <w:lang w:eastAsia="en-US"/>
              </w:rPr>
              <w:t>Ответ</w:t>
            </w:r>
          </w:p>
          <w:p w14:paraId="26EC8E76" w14:textId="77777777" w:rsidR="00896753" w:rsidRPr="000540E0" w:rsidRDefault="00896753" w:rsidP="00D259C3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ООО </w:t>
            </w:r>
            <w:r w:rsidR="000F345B">
              <w:rPr>
                <w:rFonts w:eastAsia="Calibri"/>
                <w:bCs/>
                <w:i/>
                <w:lang w:eastAsia="en-US"/>
              </w:rPr>
              <w:t>ИТП «ГРАД»</w:t>
            </w:r>
          </w:p>
        </w:tc>
      </w:tr>
      <w:tr w:rsidR="00896753" w14:paraId="26EC8E7C" w14:textId="77777777" w:rsidTr="00B63B3A">
        <w:tc>
          <w:tcPr>
            <w:tcW w:w="890" w:type="dxa"/>
            <w:shd w:val="clear" w:color="auto" w:fill="auto"/>
            <w:vAlign w:val="center"/>
          </w:tcPr>
          <w:p w14:paraId="26EC8E78" w14:textId="77777777" w:rsidR="00896753" w:rsidRPr="006B4655" w:rsidRDefault="00896753" w:rsidP="006B4655">
            <w:pPr>
              <w:jc w:val="center"/>
              <w:rPr>
                <w:b/>
                <w:i/>
              </w:rPr>
            </w:pPr>
            <w:r w:rsidRPr="006B4655">
              <w:rPr>
                <w:rFonts w:eastAsia="Calibri"/>
                <w:b/>
                <w:bCs/>
                <w:i/>
                <w:lang w:eastAsia="en-US"/>
              </w:rPr>
              <w:t>1</w:t>
            </w:r>
          </w:p>
        </w:tc>
        <w:tc>
          <w:tcPr>
            <w:tcW w:w="2479" w:type="dxa"/>
          </w:tcPr>
          <w:p w14:paraId="26EC8E79" w14:textId="77777777" w:rsidR="00896753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</w:p>
        </w:tc>
        <w:tc>
          <w:tcPr>
            <w:tcW w:w="6636" w:type="dxa"/>
            <w:vAlign w:val="center"/>
          </w:tcPr>
          <w:p w14:paraId="26EC8E7A" w14:textId="77777777" w:rsidR="00896753" w:rsidRPr="006B4655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2</w:t>
            </w:r>
          </w:p>
        </w:tc>
        <w:tc>
          <w:tcPr>
            <w:tcW w:w="4845" w:type="dxa"/>
          </w:tcPr>
          <w:p w14:paraId="26EC8E7B" w14:textId="77777777" w:rsidR="00896753" w:rsidRPr="006B4655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3</w:t>
            </w:r>
          </w:p>
        </w:tc>
      </w:tr>
      <w:tr w:rsidR="00896753" w14:paraId="26EC8E83" w14:textId="77777777" w:rsidTr="00B63B3A">
        <w:tc>
          <w:tcPr>
            <w:tcW w:w="890" w:type="dxa"/>
            <w:shd w:val="clear" w:color="auto" w:fill="auto"/>
            <w:vAlign w:val="center"/>
          </w:tcPr>
          <w:p w14:paraId="26EC8E7D" w14:textId="77777777" w:rsidR="00896753" w:rsidRPr="00F72973" w:rsidRDefault="00B8457B" w:rsidP="006B4655">
            <w:pPr>
              <w:jc w:val="center"/>
            </w:pPr>
            <w:r>
              <w:t>1</w:t>
            </w:r>
            <w:r w:rsidR="00896753" w:rsidRPr="00F72973">
              <w:t>.</w:t>
            </w:r>
          </w:p>
        </w:tc>
        <w:tc>
          <w:tcPr>
            <w:tcW w:w="2479" w:type="dxa"/>
            <w:vAlign w:val="center"/>
          </w:tcPr>
          <w:p w14:paraId="26EC8E7E" w14:textId="77777777" w:rsidR="00B8457B" w:rsidRDefault="000F345B" w:rsidP="00B8457B">
            <w:r>
              <w:t xml:space="preserve">письмо от 13.09.2019 </w:t>
            </w:r>
          </w:p>
          <w:p w14:paraId="26EC8E7F" w14:textId="77777777" w:rsidR="00896753" w:rsidRDefault="000F345B" w:rsidP="00B8457B">
            <w:r>
              <w:t>№ 67С-862/19-1</w:t>
            </w:r>
          </w:p>
        </w:tc>
        <w:tc>
          <w:tcPr>
            <w:tcW w:w="6636" w:type="dxa"/>
            <w:vAlign w:val="center"/>
          </w:tcPr>
          <w:p w14:paraId="26EC8E80" w14:textId="77777777" w:rsidR="00896753" w:rsidRDefault="000F345B" w:rsidP="00BE6220">
            <w:pPr>
              <w:jc w:val="both"/>
            </w:pPr>
            <w:r>
              <w:t>В</w:t>
            </w:r>
            <w:r w:rsidR="00BE6220">
              <w:t xml:space="preserve"> границах земельных участков с кадастровыми</w:t>
            </w:r>
            <w:r w:rsidR="00B8457B">
              <w:t xml:space="preserve"> номерами 86:20:0000000:11534, </w:t>
            </w:r>
            <w:r w:rsidR="00BE6220">
              <w:t xml:space="preserve">86:20:0000000:11535 оставить территориальную зону объектов инфраструктуры воздушного транспорта (ТВ). </w:t>
            </w:r>
          </w:p>
          <w:p w14:paraId="26EC8E81" w14:textId="77010AA6" w:rsidR="00BE6220" w:rsidRPr="00F72973" w:rsidRDefault="00BE6220" w:rsidP="00226B77">
            <w:pPr>
              <w:jc w:val="both"/>
            </w:pPr>
            <w:r w:rsidRPr="00B8457B">
              <w:t>Объекты жилищного строительства и объекты социально-культурного назначения, планируемые настоящим проектом внесения изменений</w:t>
            </w:r>
            <w:r w:rsidR="00EB4DD1">
              <w:t xml:space="preserve"> в</w:t>
            </w:r>
            <w:r w:rsidR="00B8457B">
              <w:rPr>
                <w:spacing w:val="2"/>
              </w:rPr>
              <w:t xml:space="preserve"> документ территориального планирования «Генера</w:t>
            </w:r>
            <w:r w:rsidR="00EB4DD1">
              <w:rPr>
                <w:spacing w:val="2"/>
              </w:rPr>
              <w:t>льный план города Нефтеюганска»</w:t>
            </w:r>
            <w:r w:rsidR="00226B77">
              <w:t xml:space="preserve"> к размещению </w:t>
            </w:r>
            <w:r>
              <w:t>в границах вышеуказанных зе</w:t>
            </w:r>
            <w:r w:rsidR="000F345B">
              <w:t>мельных участков, исключить</w:t>
            </w:r>
            <w:r>
              <w:t>.</w:t>
            </w:r>
          </w:p>
        </w:tc>
        <w:tc>
          <w:tcPr>
            <w:tcW w:w="4845" w:type="dxa"/>
          </w:tcPr>
          <w:p w14:paraId="26EC8E82" w14:textId="31C2914C" w:rsidR="00896753" w:rsidRPr="009028AE" w:rsidRDefault="00085EC5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Предложе</w:t>
            </w:r>
            <w:r w:rsidR="003A0609">
              <w:rPr>
                <w:rFonts w:eastAsia="Calibri"/>
                <w:bCs/>
                <w:lang w:eastAsia="en-US"/>
              </w:rPr>
              <w:t>ние принято</w:t>
            </w:r>
          </w:p>
        </w:tc>
      </w:tr>
      <w:tr w:rsidR="006A4A73" w14:paraId="26EC8E88" w14:textId="77777777" w:rsidTr="00B63B3A">
        <w:tc>
          <w:tcPr>
            <w:tcW w:w="890" w:type="dxa"/>
            <w:shd w:val="clear" w:color="auto" w:fill="auto"/>
            <w:vAlign w:val="center"/>
          </w:tcPr>
          <w:p w14:paraId="26EC8E84" w14:textId="77777777" w:rsidR="006A4A73" w:rsidRDefault="006A4A73" w:rsidP="006A4A73">
            <w:pPr>
              <w:jc w:val="center"/>
            </w:pPr>
            <w:r>
              <w:t>2</w:t>
            </w:r>
          </w:p>
        </w:tc>
        <w:tc>
          <w:tcPr>
            <w:tcW w:w="2479" w:type="dxa"/>
            <w:vAlign w:val="center"/>
          </w:tcPr>
          <w:p w14:paraId="26EC8E85" w14:textId="77777777" w:rsidR="006A4A73" w:rsidRDefault="006A4A73" w:rsidP="006A4A73">
            <w:pPr>
              <w:jc w:val="center"/>
            </w:pPr>
            <w:r>
              <w:t>письмо</w:t>
            </w:r>
            <w:proofErr w:type="gramStart"/>
            <w:r>
              <w:t xml:space="preserve"> Б</w:t>
            </w:r>
            <w:proofErr w:type="gramEnd"/>
            <w:r>
              <w:t>/№ от 13.09.2019</w:t>
            </w:r>
          </w:p>
        </w:tc>
        <w:tc>
          <w:tcPr>
            <w:tcW w:w="6636" w:type="dxa"/>
            <w:vAlign w:val="center"/>
          </w:tcPr>
          <w:p w14:paraId="26EC8E86" w14:textId="77777777" w:rsidR="006A4A73" w:rsidRDefault="006A4A73" w:rsidP="006A4A73">
            <w:pPr>
              <w:jc w:val="both"/>
            </w:pPr>
            <w:r>
              <w:t xml:space="preserve">В рамках публичных слушаний по проекту внесения изменений в документ территориального планирования «Генеральный план города» и правила землепользования и застройки прошу рассмотреть моё предложение об изменении границ территориальных зон. Уменьшить зону природных территорий (Р.3) путём увеличения зоны сельскохозяйственного использования (СИ) </w:t>
            </w:r>
            <w:proofErr w:type="gramStart"/>
            <w:r>
              <w:t>согласно</w:t>
            </w:r>
            <w:proofErr w:type="gramEnd"/>
            <w:r>
              <w:t xml:space="preserve"> прилагаемой схемы, на всю ширину СОК «Набережный». Установить границу двух территориальных зон: зоны сельскохозяйственного использования (СИ), в которой располагается СОК «Набережный», и зоны природных территорий (Р.3) по границе охранной зоны воздушной линии электропередачи 35 кВ.</w:t>
            </w:r>
          </w:p>
        </w:tc>
        <w:tc>
          <w:tcPr>
            <w:tcW w:w="4845" w:type="dxa"/>
          </w:tcPr>
          <w:p w14:paraId="47DA7E56" w14:textId="1F3F43E9" w:rsidR="007F5300" w:rsidRPr="00E669E8" w:rsidRDefault="007F5300" w:rsidP="007F5300">
            <w:pPr>
              <w:rPr>
                <w:rFonts w:eastAsia="Calibri"/>
                <w:bCs/>
                <w:lang w:eastAsia="en-US"/>
              </w:rPr>
            </w:pPr>
            <w:r w:rsidRPr="00E669E8">
              <w:rPr>
                <w:rFonts w:eastAsia="Calibri"/>
                <w:bCs/>
                <w:lang w:eastAsia="en-US"/>
              </w:rPr>
              <w:t>Предложение не принято.</w:t>
            </w:r>
          </w:p>
          <w:p w14:paraId="242D86FB" w14:textId="77777777" w:rsidR="007F5300" w:rsidRPr="00E669E8" w:rsidRDefault="007F5300" w:rsidP="007F5300">
            <w:pPr>
              <w:rPr>
                <w:rFonts w:eastAsia="Calibri"/>
                <w:lang w:eastAsia="en-US"/>
              </w:rPr>
            </w:pPr>
            <w:r w:rsidRPr="00E669E8">
              <w:rPr>
                <w:rFonts w:eastAsia="Calibri"/>
                <w:lang w:eastAsia="en-US"/>
              </w:rPr>
              <w:t xml:space="preserve">Изменение зоны природных территорий на зону сельскохозяйственного использования невозможно, так как в функциональном зонировании расположена зона лесов, а </w:t>
            </w:r>
          </w:p>
          <w:p w14:paraId="01A00794" w14:textId="77777777" w:rsidR="007F5300" w:rsidRPr="00E669E8" w:rsidRDefault="007F5300" w:rsidP="007F5300">
            <w:pPr>
              <w:rPr>
                <w:rFonts w:eastAsia="Calibri"/>
                <w:lang w:eastAsia="en-US"/>
              </w:rPr>
            </w:pPr>
            <w:r w:rsidRPr="00E669E8">
              <w:rPr>
                <w:rFonts w:eastAsia="Calibri"/>
                <w:lang w:eastAsia="en-US"/>
              </w:rPr>
              <w:t xml:space="preserve">так же </w:t>
            </w:r>
            <w:proofErr w:type="gramStart"/>
            <w:r w:rsidRPr="00E669E8">
              <w:rPr>
                <w:rFonts w:eastAsia="Calibri"/>
                <w:lang w:eastAsia="en-US"/>
              </w:rPr>
              <w:t>по мимо</w:t>
            </w:r>
            <w:proofErr w:type="gramEnd"/>
            <w:r w:rsidRPr="00E669E8">
              <w:rPr>
                <w:rFonts w:eastAsia="Calibri"/>
                <w:lang w:eastAsia="en-US"/>
              </w:rPr>
              <w:t xml:space="preserve"> ЛЭП 35 кВ, проходит нефтепровод (охранная зона 25 метров) и технический водопровод (охранная зона 50 метров).</w:t>
            </w:r>
          </w:p>
          <w:p w14:paraId="26EC8E87" w14:textId="39FADF96" w:rsidR="006A4A73" w:rsidRDefault="006A4A73" w:rsidP="007F5300">
            <w:pPr>
              <w:tabs>
                <w:tab w:val="left" w:pos="2605"/>
              </w:tabs>
              <w:jc w:val="both"/>
              <w:rPr>
                <w:rFonts w:eastAsia="Calibri"/>
                <w:bCs/>
                <w:lang w:eastAsia="en-US"/>
              </w:rPr>
            </w:pPr>
          </w:p>
        </w:tc>
      </w:tr>
    </w:tbl>
    <w:p w14:paraId="26EC8E89" w14:textId="77777777" w:rsidR="00C25888" w:rsidRDefault="00C25888" w:rsidP="00C25888">
      <w:pPr>
        <w:tabs>
          <w:tab w:val="left" w:pos="5670"/>
        </w:tabs>
        <w:jc w:val="center"/>
        <w:rPr>
          <w:spacing w:val="2"/>
        </w:rPr>
      </w:pPr>
      <w:r w:rsidRPr="008D5A2A">
        <w:rPr>
          <w:spacing w:val="2"/>
        </w:rPr>
        <w:lastRenderedPageBreak/>
        <w:t xml:space="preserve">Предложения и замечания участников публичных слушаний, </w:t>
      </w:r>
    </w:p>
    <w:p w14:paraId="26EC8E8A" w14:textId="77777777" w:rsidR="00C25888" w:rsidRDefault="00C25888" w:rsidP="00C25888">
      <w:pPr>
        <w:tabs>
          <w:tab w:val="left" w:pos="5670"/>
        </w:tabs>
        <w:jc w:val="center"/>
        <w:rPr>
          <w:i/>
          <w:spacing w:val="2"/>
        </w:rPr>
      </w:pPr>
      <w:r w:rsidRPr="000F345B">
        <w:rPr>
          <w:spacing w:val="2"/>
        </w:rPr>
        <w:t xml:space="preserve">поступившие в ходе </w:t>
      </w:r>
      <w:r>
        <w:rPr>
          <w:spacing w:val="2"/>
        </w:rPr>
        <w:t>заседания</w:t>
      </w:r>
      <w:r w:rsidRPr="000F345B">
        <w:rPr>
          <w:spacing w:val="2"/>
        </w:rPr>
        <w:t xml:space="preserve"> публичных слушаний</w:t>
      </w:r>
      <w:r w:rsidRPr="000F345B">
        <w:rPr>
          <w:i/>
          <w:spacing w:val="2"/>
        </w:rPr>
        <w:t xml:space="preserve"> </w:t>
      </w:r>
    </w:p>
    <w:p w14:paraId="26EC8E8B" w14:textId="77777777" w:rsidR="00C25888" w:rsidRPr="006A4A73" w:rsidRDefault="00C25888" w:rsidP="006A4A73">
      <w:pPr>
        <w:tabs>
          <w:tab w:val="left" w:pos="5670"/>
        </w:tabs>
        <w:jc w:val="center"/>
        <w:rPr>
          <w:spacing w:val="2"/>
        </w:rPr>
      </w:pPr>
      <w:r w:rsidRPr="00BC601D">
        <w:rPr>
          <w:spacing w:val="2"/>
        </w:rPr>
        <w:t>по</w:t>
      </w:r>
      <w:r w:rsidRPr="00326023">
        <w:rPr>
          <w:spacing w:val="2"/>
        </w:rPr>
        <w:t xml:space="preserve"> проекту</w:t>
      </w:r>
      <w:r>
        <w:rPr>
          <w:spacing w:val="2"/>
        </w:rPr>
        <w:t xml:space="preserve"> о внесении изменений в документ территориального планирования «Генеральный план города Нефтеюганска»</w:t>
      </w:r>
    </w:p>
    <w:tbl>
      <w:tblPr>
        <w:tblpPr w:leftFromText="180" w:rightFromText="180" w:vertAnchor="text" w:horzAnchor="margin" w:tblpY="14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2479"/>
        <w:gridCol w:w="6636"/>
        <w:gridCol w:w="4845"/>
      </w:tblGrid>
      <w:tr w:rsidR="00C25888" w14:paraId="26EC8E92" w14:textId="77777777" w:rsidTr="00C25888">
        <w:trPr>
          <w:trHeight w:val="841"/>
        </w:trPr>
        <w:tc>
          <w:tcPr>
            <w:tcW w:w="890" w:type="dxa"/>
            <w:shd w:val="clear" w:color="auto" w:fill="auto"/>
            <w:vAlign w:val="center"/>
          </w:tcPr>
          <w:p w14:paraId="26EC8E8C" w14:textId="77777777" w:rsidR="00C25888" w:rsidRDefault="00C25888" w:rsidP="00C25888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Номер </w:t>
            </w:r>
          </w:p>
          <w:p w14:paraId="26EC8E8D" w14:textId="77777777" w:rsidR="00C25888" w:rsidRPr="0067360D" w:rsidRDefault="00C25888" w:rsidP="00C25888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proofErr w:type="gramStart"/>
            <w:r>
              <w:rPr>
                <w:rFonts w:eastAsia="Calibri"/>
                <w:bCs/>
                <w:i/>
                <w:lang w:eastAsia="en-US"/>
              </w:rPr>
              <w:t>п</w:t>
            </w:r>
            <w:proofErr w:type="gramEnd"/>
            <w:r>
              <w:rPr>
                <w:rFonts w:eastAsia="Calibri"/>
                <w:bCs/>
                <w:i/>
                <w:lang w:eastAsia="en-US"/>
              </w:rPr>
              <w:t xml:space="preserve">/п </w:t>
            </w:r>
          </w:p>
        </w:tc>
        <w:tc>
          <w:tcPr>
            <w:tcW w:w="2479" w:type="dxa"/>
          </w:tcPr>
          <w:p w14:paraId="26EC8E8E" w14:textId="77777777" w:rsidR="00C25888" w:rsidRPr="000540E0" w:rsidRDefault="00C25888" w:rsidP="00C25888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Номер карточек участников публичных слушаний</w:t>
            </w:r>
          </w:p>
        </w:tc>
        <w:tc>
          <w:tcPr>
            <w:tcW w:w="6636" w:type="dxa"/>
            <w:vAlign w:val="center"/>
          </w:tcPr>
          <w:p w14:paraId="26EC8E8F" w14:textId="77777777" w:rsidR="00C25888" w:rsidRPr="000540E0" w:rsidRDefault="00C25888" w:rsidP="00C25888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color w:val="000000"/>
                <w:lang w:eastAsia="en-US"/>
              </w:rPr>
              <w:t>**</w:t>
            </w:r>
            <w:r w:rsidRPr="000540E0">
              <w:rPr>
                <w:rFonts w:eastAsia="Calibri"/>
                <w:bCs/>
                <w:i/>
                <w:color w:val="000000"/>
                <w:lang w:eastAsia="en-US"/>
              </w:rPr>
              <w:t>Предложения и замечания</w:t>
            </w:r>
          </w:p>
        </w:tc>
        <w:tc>
          <w:tcPr>
            <w:tcW w:w="4845" w:type="dxa"/>
            <w:vAlign w:val="center"/>
          </w:tcPr>
          <w:p w14:paraId="26EC8E90" w14:textId="77777777" w:rsidR="00C25888" w:rsidRPr="0067360D" w:rsidRDefault="00C25888" w:rsidP="00C25888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 w:rsidRPr="0067360D">
              <w:rPr>
                <w:rFonts w:eastAsia="Calibri"/>
                <w:bCs/>
                <w:i/>
                <w:lang w:eastAsia="en-US"/>
              </w:rPr>
              <w:t>Ответ</w:t>
            </w:r>
          </w:p>
          <w:p w14:paraId="26EC8E91" w14:textId="77777777" w:rsidR="00C25888" w:rsidRPr="000540E0" w:rsidRDefault="00C25888" w:rsidP="00C25888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ООО ИТП «ГРАД»</w:t>
            </w:r>
          </w:p>
        </w:tc>
      </w:tr>
      <w:tr w:rsidR="00C25888" w14:paraId="26EC8E97" w14:textId="77777777" w:rsidTr="00C25888">
        <w:tc>
          <w:tcPr>
            <w:tcW w:w="890" w:type="dxa"/>
            <w:shd w:val="clear" w:color="auto" w:fill="auto"/>
            <w:vAlign w:val="center"/>
          </w:tcPr>
          <w:p w14:paraId="26EC8E93" w14:textId="77777777" w:rsidR="00C25888" w:rsidRPr="006B4655" w:rsidRDefault="00C25888" w:rsidP="00C25888">
            <w:pPr>
              <w:jc w:val="center"/>
              <w:rPr>
                <w:b/>
                <w:i/>
              </w:rPr>
            </w:pPr>
            <w:r w:rsidRPr="006B4655">
              <w:rPr>
                <w:rFonts w:eastAsia="Calibri"/>
                <w:b/>
                <w:bCs/>
                <w:i/>
                <w:lang w:eastAsia="en-US"/>
              </w:rPr>
              <w:t>1</w:t>
            </w:r>
          </w:p>
        </w:tc>
        <w:tc>
          <w:tcPr>
            <w:tcW w:w="2479" w:type="dxa"/>
          </w:tcPr>
          <w:p w14:paraId="26EC8E94" w14:textId="77777777" w:rsidR="00C25888" w:rsidRDefault="00C25888" w:rsidP="00C25888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</w:p>
        </w:tc>
        <w:tc>
          <w:tcPr>
            <w:tcW w:w="6636" w:type="dxa"/>
            <w:vAlign w:val="center"/>
          </w:tcPr>
          <w:p w14:paraId="26EC8E95" w14:textId="77777777" w:rsidR="00C25888" w:rsidRPr="006B4655" w:rsidRDefault="00C25888" w:rsidP="00C25888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2</w:t>
            </w:r>
          </w:p>
        </w:tc>
        <w:tc>
          <w:tcPr>
            <w:tcW w:w="4845" w:type="dxa"/>
          </w:tcPr>
          <w:p w14:paraId="26EC8E96" w14:textId="77777777" w:rsidR="00C25888" w:rsidRPr="006B4655" w:rsidRDefault="00C25888" w:rsidP="00C25888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3</w:t>
            </w:r>
          </w:p>
        </w:tc>
      </w:tr>
      <w:tr w:rsidR="00C25888" w14:paraId="26EC8E9C" w14:textId="77777777" w:rsidTr="00C25888">
        <w:tc>
          <w:tcPr>
            <w:tcW w:w="890" w:type="dxa"/>
            <w:shd w:val="clear" w:color="auto" w:fill="auto"/>
            <w:vAlign w:val="center"/>
          </w:tcPr>
          <w:p w14:paraId="26EC8E98" w14:textId="77777777" w:rsidR="00C25888" w:rsidRDefault="00C25888" w:rsidP="00C25888">
            <w:pPr>
              <w:jc w:val="center"/>
            </w:pPr>
            <w:r>
              <w:t>1.</w:t>
            </w:r>
          </w:p>
        </w:tc>
        <w:tc>
          <w:tcPr>
            <w:tcW w:w="2479" w:type="dxa"/>
            <w:vAlign w:val="center"/>
          </w:tcPr>
          <w:p w14:paraId="26EC8E99" w14:textId="77777777" w:rsidR="00C25888" w:rsidRDefault="00C25888" w:rsidP="00C25888">
            <w:pPr>
              <w:jc w:val="center"/>
            </w:pPr>
            <w:r>
              <w:t>9.</w:t>
            </w:r>
          </w:p>
        </w:tc>
        <w:tc>
          <w:tcPr>
            <w:tcW w:w="6636" w:type="dxa"/>
            <w:vAlign w:val="center"/>
          </w:tcPr>
          <w:p w14:paraId="26EC8E9A" w14:textId="77777777" w:rsidR="00C25888" w:rsidRDefault="00C25888" w:rsidP="00C25888">
            <w:pPr>
              <w:jc w:val="both"/>
            </w:pPr>
            <w:r>
              <w:t>Учесть границы земельных участков (ранее учтенные) под гаражными кооперативами, для дальнейшей работы по уточнению границ.</w:t>
            </w:r>
          </w:p>
        </w:tc>
        <w:tc>
          <w:tcPr>
            <w:tcW w:w="4845" w:type="dxa"/>
          </w:tcPr>
          <w:p w14:paraId="78DE17B1" w14:textId="77777777" w:rsidR="00A711AE" w:rsidRDefault="00587800" w:rsidP="00587800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Предложение рассмотрено. </w:t>
            </w:r>
          </w:p>
          <w:p w14:paraId="26EC8E9B" w14:textId="7B3FE77E" w:rsidR="00990DF8" w:rsidRPr="009028AE" w:rsidRDefault="00587800" w:rsidP="00587800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Для принятия решения необходимо предоставить </w:t>
            </w:r>
            <w:r>
              <w:t>границы земельных участков (ранее учтенных) под гаражными кооперативами</w:t>
            </w:r>
            <w:r w:rsidRPr="009028AE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eastAsia="en-US"/>
              </w:rPr>
              <w:t>или их кадастровые номера</w:t>
            </w:r>
          </w:p>
        </w:tc>
      </w:tr>
      <w:tr w:rsidR="00C25888" w14:paraId="26EC8EA2" w14:textId="77777777" w:rsidTr="00C25888">
        <w:tc>
          <w:tcPr>
            <w:tcW w:w="890" w:type="dxa"/>
            <w:shd w:val="clear" w:color="auto" w:fill="auto"/>
            <w:vAlign w:val="center"/>
          </w:tcPr>
          <w:p w14:paraId="26EC8E9D" w14:textId="77777777" w:rsidR="00C25888" w:rsidRDefault="00C25888" w:rsidP="00C25888">
            <w:pPr>
              <w:jc w:val="center"/>
            </w:pPr>
            <w:r>
              <w:t>2.</w:t>
            </w:r>
          </w:p>
        </w:tc>
        <w:tc>
          <w:tcPr>
            <w:tcW w:w="2479" w:type="dxa"/>
            <w:vAlign w:val="center"/>
          </w:tcPr>
          <w:p w14:paraId="26EC8E9E" w14:textId="77777777" w:rsidR="00C25888" w:rsidRDefault="00C25888" w:rsidP="00C25888">
            <w:pPr>
              <w:jc w:val="center"/>
            </w:pPr>
            <w:r>
              <w:t>14.</w:t>
            </w:r>
          </w:p>
        </w:tc>
        <w:tc>
          <w:tcPr>
            <w:tcW w:w="6636" w:type="dxa"/>
            <w:vAlign w:val="center"/>
          </w:tcPr>
          <w:p w14:paraId="26EC8E9F" w14:textId="77777777" w:rsidR="00C25888" w:rsidRDefault="00C25888" w:rsidP="00C25888">
            <w:pPr>
              <w:jc w:val="both"/>
            </w:pPr>
            <w:proofErr w:type="gramStart"/>
            <w:r>
              <w:t>1.Увеличить зоны ГСК «Буран» по фактическим застроенной территории членов ГСК.</w:t>
            </w:r>
            <w:proofErr w:type="gramEnd"/>
          </w:p>
          <w:p w14:paraId="26EC8EA0" w14:textId="77777777" w:rsidR="00C25888" w:rsidRDefault="00C25888" w:rsidP="00C25888">
            <w:pPr>
              <w:jc w:val="both"/>
            </w:pPr>
            <w:r>
              <w:t>2.Исключить на территории ПГСК Югра – Авто охранную зону.</w:t>
            </w:r>
          </w:p>
        </w:tc>
        <w:tc>
          <w:tcPr>
            <w:tcW w:w="4845" w:type="dxa"/>
          </w:tcPr>
          <w:p w14:paraId="25A613FD" w14:textId="52C028D8" w:rsidR="00A711AE" w:rsidRPr="00E669E8" w:rsidRDefault="00B2187C" w:rsidP="00A073A3">
            <w:pPr>
              <w:jc w:val="both"/>
              <w:rPr>
                <w:rFonts w:eastAsia="Calibri"/>
                <w:bCs/>
                <w:lang w:eastAsia="en-US"/>
              </w:rPr>
            </w:pPr>
            <w:bookmarkStart w:id="0" w:name="_GoBack"/>
            <w:r w:rsidRPr="00E669E8">
              <w:rPr>
                <w:rFonts w:eastAsia="Calibri"/>
                <w:bCs/>
                <w:lang w:eastAsia="en-US"/>
              </w:rPr>
              <w:t>1. Предложение рассмотрено и учтено.</w:t>
            </w:r>
          </w:p>
          <w:bookmarkEnd w:id="0"/>
          <w:p w14:paraId="26EC8EA1" w14:textId="07B884BC" w:rsidR="00A711AE" w:rsidRPr="009028AE" w:rsidRDefault="00F67E22" w:rsidP="00A711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2. </w:t>
            </w:r>
            <w:r w:rsidR="003E7CD2">
              <w:rPr>
                <w:rFonts w:eastAsia="Calibri"/>
                <w:bCs/>
                <w:lang w:eastAsia="en-US"/>
              </w:rPr>
              <w:t>Охран</w:t>
            </w:r>
            <w:r w:rsidR="00842C00">
              <w:rPr>
                <w:rFonts w:eastAsia="Calibri"/>
                <w:bCs/>
                <w:lang w:eastAsia="en-US"/>
              </w:rPr>
              <w:t>н</w:t>
            </w:r>
            <w:r w:rsidR="003E7CD2">
              <w:rPr>
                <w:rFonts w:eastAsia="Calibri"/>
                <w:bCs/>
                <w:lang w:eastAsia="en-US"/>
              </w:rPr>
              <w:t>ую зону исключить нельзя</w:t>
            </w:r>
            <w:r w:rsidR="00B2187C">
              <w:rPr>
                <w:rFonts w:eastAsia="Calibri"/>
                <w:bCs/>
                <w:lang w:eastAsia="en-US"/>
              </w:rPr>
              <w:t>.</w:t>
            </w:r>
            <w:r w:rsidR="00A711AE" w:rsidRPr="00A711AE">
              <w:rPr>
                <w:rFonts w:eastAsia="Calibri"/>
                <w:bCs/>
                <w:lang w:eastAsia="en-US"/>
              </w:rPr>
              <w:t xml:space="preserve"> </w:t>
            </w:r>
            <w:proofErr w:type="gramStart"/>
            <w:r w:rsidR="00A711AE">
              <w:t>На территорию ГСК Югра – Авто накладывают ограничения охранные зоны, отображенные для нефтепровода и линии электропередачи 35 кВ.  Для данных объектов охранные зоны предусмотрены согласно нормативно-правовым документам об установлении охранных зон, для нефтепровода зона предусмотрена в размере 25 м согласно Правил охраны магистральных трубопроводов, утвержденные Постановлением Федерального горного и промышленного надзора России от 22.04.1992 № 9, для линии электропередачи 35 кВ в</w:t>
            </w:r>
            <w:proofErr w:type="gramEnd"/>
            <w:r w:rsidR="00A711AE">
              <w:t xml:space="preserve"> </w:t>
            </w:r>
            <w:proofErr w:type="gramStart"/>
            <w:r w:rsidR="00A711AE">
              <w:t xml:space="preserve">размере 15 м согласно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утвержденными Постановлением </w:t>
            </w:r>
            <w:r w:rsidR="00A711AE">
              <w:lastRenderedPageBreak/>
              <w:t xml:space="preserve">Правительства Российской Федерации от 24.02.2009 № 160 (для ЛЭП 35 кВ сведения внесены в Единый государственный реестр недвижимости), таким образом исключить охранные зоны с территории ГСК Югра – Авто не представляется возможным, так как это противоречит действующему законодательству. </w:t>
            </w:r>
            <w:proofErr w:type="gramEnd"/>
          </w:p>
        </w:tc>
      </w:tr>
      <w:tr w:rsidR="00C25888" w14:paraId="26EC8EA7" w14:textId="77777777" w:rsidTr="00C25888">
        <w:tc>
          <w:tcPr>
            <w:tcW w:w="890" w:type="dxa"/>
            <w:shd w:val="clear" w:color="auto" w:fill="auto"/>
            <w:vAlign w:val="center"/>
          </w:tcPr>
          <w:p w14:paraId="26EC8EA3" w14:textId="77777777" w:rsidR="00C25888" w:rsidRDefault="00C25888" w:rsidP="00C25888">
            <w:pPr>
              <w:jc w:val="center"/>
            </w:pPr>
            <w:r>
              <w:lastRenderedPageBreak/>
              <w:t>3</w:t>
            </w:r>
          </w:p>
        </w:tc>
        <w:tc>
          <w:tcPr>
            <w:tcW w:w="2479" w:type="dxa"/>
            <w:vAlign w:val="center"/>
          </w:tcPr>
          <w:p w14:paraId="26EC8EA4" w14:textId="77777777" w:rsidR="00C25888" w:rsidRDefault="00C25888" w:rsidP="00C25888">
            <w:pPr>
              <w:jc w:val="center"/>
            </w:pPr>
            <w:r>
              <w:t>16.</w:t>
            </w:r>
          </w:p>
        </w:tc>
        <w:tc>
          <w:tcPr>
            <w:tcW w:w="6636" w:type="dxa"/>
            <w:vAlign w:val="center"/>
          </w:tcPr>
          <w:p w14:paraId="26EC8EA5" w14:textId="17511A08" w:rsidR="00C25888" w:rsidRDefault="00C25888" w:rsidP="00C25888">
            <w:pPr>
              <w:jc w:val="both"/>
            </w:pPr>
            <w:r>
              <w:t>Я хотела открыть приют для собак, я так поняла</w:t>
            </w:r>
            <w:r w:rsidR="00842C00">
              <w:t>,</w:t>
            </w:r>
            <w:r>
              <w:t xml:space="preserve"> что желающие есть и уже не первый год ждут помещение. Возможно ли такое, что приют (приют) будет не один, так как собак очень много в городе, тогда бы я могла, открыть ещё один приют. Ещё у меня есть возможность вложения финансов, либо аренда помещения. Примите во внимание моё предложение.</w:t>
            </w:r>
          </w:p>
        </w:tc>
        <w:tc>
          <w:tcPr>
            <w:tcW w:w="4845" w:type="dxa"/>
          </w:tcPr>
          <w:p w14:paraId="0F7C07AC" w14:textId="4E8AC230" w:rsidR="00CB5E8F" w:rsidRDefault="00CB5E8F" w:rsidP="00B51D27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Предложение рассмотрено.</w:t>
            </w:r>
          </w:p>
          <w:p w14:paraId="78FB55D2" w14:textId="64AED73F" w:rsidR="00B51D27" w:rsidRDefault="00B51D27" w:rsidP="00B51D27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 градостроительных регламентах Правил землепользования и застройки г.</w:t>
            </w:r>
            <w:r w:rsidR="00587800">
              <w:rPr>
                <w:rFonts w:eastAsia="Calibri"/>
              </w:rPr>
              <w:t> </w:t>
            </w:r>
            <w:r>
              <w:rPr>
                <w:rFonts w:eastAsia="Calibri"/>
                <w:bCs/>
                <w:lang w:eastAsia="en-US"/>
              </w:rPr>
              <w:t>Нефтеюганска предусмотрена возможность размещения таких объектов. В</w:t>
            </w:r>
            <w:r w:rsidRPr="00F80B1C">
              <w:rPr>
                <w:rFonts w:eastAsia="Calibri"/>
                <w:bCs/>
                <w:lang w:eastAsia="en-US"/>
              </w:rPr>
              <w:t>ид разрешенного использования «Приюты для животных» добавлен</w:t>
            </w:r>
            <w:r>
              <w:t xml:space="preserve"> в </w:t>
            </w:r>
            <w:r w:rsidRPr="00F80B1C">
              <w:rPr>
                <w:rFonts w:eastAsia="Calibri"/>
                <w:bCs/>
                <w:lang w:eastAsia="en-US"/>
              </w:rPr>
              <w:t>зон</w:t>
            </w:r>
            <w:r>
              <w:rPr>
                <w:rFonts w:eastAsia="Calibri"/>
                <w:bCs/>
                <w:lang w:eastAsia="en-US"/>
              </w:rPr>
              <w:t>у</w:t>
            </w:r>
            <w:r w:rsidRPr="00F80B1C">
              <w:rPr>
                <w:rFonts w:eastAsia="Calibri"/>
                <w:bCs/>
                <w:lang w:eastAsia="en-US"/>
              </w:rPr>
              <w:t xml:space="preserve"> коммунально-складского назначения (КС)</w:t>
            </w:r>
            <w:r>
              <w:rPr>
                <w:rFonts w:eastAsia="Calibri"/>
                <w:bCs/>
                <w:lang w:eastAsia="en-US"/>
              </w:rPr>
              <w:t xml:space="preserve">, </w:t>
            </w:r>
            <w:r w:rsidRPr="00F80B1C">
              <w:rPr>
                <w:rFonts w:eastAsia="Calibri"/>
                <w:bCs/>
                <w:lang w:eastAsia="en-US"/>
              </w:rPr>
              <w:t>в зону промышленных предприятий III класса опасности (П.3) и в зону промышленных предприятий IV класса опасности (П.4) в основные виды разрешённого использования земельных участков</w:t>
            </w:r>
            <w:r>
              <w:rPr>
                <w:rFonts w:eastAsia="Calibri"/>
                <w:bCs/>
                <w:lang w:eastAsia="en-US"/>
              </w:rPr>
              <w:t xml:space="preserve">. </w:t>
            </w:r>
          </w:p>
          <w:p w14:paraId="26EC8EA6" w14:textId="5D185286" w:rsidR="00C25888" w:rsidRPr="009028AE" w:rsidRDefault="00B51D27" w:rsidP="00C25888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Приобретение земельных участков в границах указанных территориальных зон осуществляется в порядке, предусмотренном Земельным кодексом РФ.</w:t>
            </w:r>
          </w:p>
        </w:tc>
      </w:tr>
      <w:tr w:rsidR="00C25888" w14:paraId="26EC8EAC" w14:textId="77777777" w:rsidTr="00C25888">
        <w:trPr>
          <w:trHeight w:val="90"/>
        </w:trPr>
        <w:tc>
          <w:tcPr>
            <w:tcW w:w="890" w:type="dxa"/>
            <w:shd w:val="clear" w:color="auto" w:fill="auto"/>
            <w:vAlign w:val="center"/>
          </w:tcPr>
          <w:p w14:paraId="26EC8EA8" w14:textId="77777777" w:rsidR="00C25888" w:rsidRDefault="00C25888" w:rsidP="00C25888">
            <w:pPr>
              <w:jc w:val="center"/>
            </w:pPr>
            <w:r>
              <w:t>4.</w:t>
            </w:r>
          </w:p>
        </w:tc>
        <w:tc>
          <w:tcPr>
            <w:tcW w:w="2479" w:type="dxa"/>
            <w:vAlign w:val="center"/>
          </w:tcPr>
          <w:p w14:paraId="26EC8EA9" w14:textId="77777777" w:rsidR="00C25888" w:rsidRDefault="00C25888" w:rsidP="00C25888">
            <w:pPr>
              <w:jc w:val="center"/>
            </w:pPr>
            <w:r>
              <w:t>17.</w:t>
            </w:r>
          </w:p>
        </w:tc>
        <w:tc>
          <w:tcPr>
            <w:tcW w:w="6636" w:type="dxa"/>
            <w:vAlign w:val="center"/>
          </w:tcPr>
          <w:p w14:paraId="26EC8EAA" w14:textId="77777777" w:rsidR="00C25888" w:rsidRDefault="00C25888" w:rsidP="00C25888">
            <w:pPr>
              <w:jc w:val="both"/>
            </w:pPr>
            <w:r>
              <w:t>В городе будут строить велосипедные дорожки?</w:t>
            </w:r>
          </w:p>
        </w:tc>
        <w:tc>
          <w:tcPr>
            <w:tcW w:w="4845" w:type="dxa"/>
          </w:tcPr>
          <w:p w14:paraId="711B1730" w14:textId="77777777" w:rsidR="00A711AE" w:rsidRDefault="00A711AE" w:rsidP="00A711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Предложение рассмотрено.</w:t>
            </w:r>
          </w:p>
          <w:p w14:paraId="26EC8EAB" w14:textId="32227BEE" w:rsidR="00C25888" w:rsidRPr="009028AE" w:rsidRDefault="0001143C" w:rsidP="00C25888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 рамках Генерального плана и Программы комплексного развития транспортной инфраструктуры предусмотрен</w:t>
            </w:r>
            <w:r w:rsidR="00537577">
              <w:rPr>
                <w:rFonts w:eastAsia="Calibri"/>
                <w:bCs/>
                <w:lang w:eastAsia="en-US"/>
              </w:rPr>
              <w:t>о размещение</w:t>
            </w:r>
            <w:r>
              <w:rPr>
                <w:rFonts w:eastAsia="Calibri"/>
                <w:bCs/>
                <w:lang w:eastAsia="en-US"/>
              </w:rPr>
              <w:t xml:space="preserve"> велосипедны</w:t>
            </w:r>
            <w:r w:rsidR="00537577">
              <w:rPr>
                <w:rFonts w:eastAsia="Calibri"/>
                <w:bCs/>
                <w:lang w:eastAsia="en-US"/>
              </w:rPr>
              <w:t>х</w:t>
            </w:r>
            <w:r>
              <w:rPr>
                <w:rFonts w:eastAsia="Calibri"/>
                <w:bCs/>
                <w:lang w:eastAsia="en-US"/>
              </w:rPr>
              <w:t xml:space="preserve"> дорож</w:t>
            </w:r>
            <w:r w:rsidR="00537577">
              <w:rPr>
                <w:rFonts w:eastAsia="Calibri"/>
                <w:bCs/>
                <w:lang w:eastAsia="en-US"/>
              </w:rPr>
              <w:t>ек общей протяженностью 26 км</w:t>
            </w:r>
          </w:p>
        </w:tc>
      </w:tr>
      <w:tr w:rsidR="00C25888" w14:paraId="26EC8EB1" w14:textId="77777777" w:rsidTr="00C25888">
        <w:trPr>
          <w:trHeight w:val="90"/>
        </w:trPr>
        <w:tc>
          <w:tcPr>
            <w:tcW w:w="890" w:type="dxa"/>
            <w:shd w:val="clear" w:color="auto" w:fill="auto"/>
            <w:vAlign w:val="center"/>
          </w:tcPr>
          <w:p w14:paraId="26EC8EAD" w14:textId="4509E6F8" w:rsidR="00C25888" w:rsidRDefault="00C25888" w:rsidP="00C25888">
            <w:pPr>
              <w:jc w:val="center"/>
            </w:pPr>
            <w:r>
              <w:t>5</w:t>
            </w:r>
          </w:p>
        </w:tc>
        <w:tc>
          <w:tcPr>
            <w:tcW w:w="2479" w:type="dxa"/>
            <w:vAlign w:val="center"/>
          </w:tcPr>
          <w:p w14:paraId="26EC8EAE" w14:textId="77777777" w:rsidR="00C25888" w:rsidRDefault="00C25888" w:rsidP="00C25888">
            <w:pPr>
              <w:jc w:val="center"/>
            </w:pPr>
            <w:r>
              <w:t>22.</w:t>
            </w:r>
          </w:p>
        </w:tc>
        <w:tc>
          <w:tcPr>
            <w:tcW w:w="6636" w:type="dxa"/>
            <w:vAlign w:val="center"/>
          </w:tcPr>
          <w:p w14:paraId="26EC8EAF" w14:textId="4D88D9E7" w:rsidR="00C25888" w:rsidRDefault="00842C00" w:rsidP="00C25888">
            <w:pPr>
              <w:jc w:val="both"/>
            </w:pPr>
            <w:r>
              <w:t>По СУ – 62. Нигде и ни</w:t>
            </w:r>
            <w:r w:rsidR="00C25888">
              <w:t>кто не гов</w:t>
            </w:r>
            <w:r>
              <w:t>орит. Мы живем в фенольном доме</w:t>
            </w:r>
            <w:r w:rsidR="00C25888">
              <w:t xml:space="preserve"> (не пригодным для проживания) Будет ли </w:t>
            </w:r>
            <w:r w:rsidR="00C25888">
              <w:lastRenderedPageBreak/>
              <w:t>принято какое</w:t>
            </w:r>
            <w:r>
              <w:t>-</w:t>
            </w:r>
            <w:r w:rsidR="00C25888">
              <w:t>то решение по СУ – 62 и когда.</w:t>
            </w:r>
          </w:p>
        </w:tc>
        <w:tc>
          <w:tcPr>
            <w:tcW w:w="4845" w:type="dxa"/>
          </w:tcPr>
          <w:p w14:paraId="2B052682" w14:textId="77777777" w:rsidR="00A711AE" w:rsidRDefault="006E3905" w:rsidP="00A711AE">
            <w:pPr>
              <w:pStyle w:val="a"/>
              <w:numPr>
                <w:ilvl w:val="0"/>
                <w:numId w:val="0"/>
              </w:num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 xml:space="preserve">Предложение рассмотрено. </w:t>
            </w:r>
          </w:p>
          <w:p w14:paraId="26EC8EB0" w14:textId="7FA30C22" w:rsidR="00C25888" w:rsidRPr="00A711AE" w:rsidRDefault="006E3905" w:rsidP="00A711AE">
            <w:pPr>
              <w:pStyle w:val="a"/>
              <w:numPr>
                <w:ilvl w:val="0"/>
                <w:numId w:val="0"/>
              </w:numPr>
            </w:pPr>
            <w:r w:rsidRPr="006E3905">
              <w:t xml:space="preserve">На территорию поселка СУ-62 разработан </w:t>
            </w:r>
            <w:r w:rsidRPr="006E3905">
              <w:lastRenderedPageBreak/>
              <w:t>проект планировки и проект межевания территории в районе СУ-62, утвержденный постановлением администрации города Нефтеюганска от 14.08.2013 № 869-п. Данный проект предусматривает решения по использованию территории поселка</w:t>
            </w:r>
          </w:p>
        </w:tc>
      </w:tr>
      <w:tr w:rsidR="00C25888" w14:paraId="26EC8EB6" w14:textId="77777777" w:rsidTr="00C25888">
        <w:trPr>
          <w:trHeight w:val="90"/>
        </w:trPr>
        <w:tc>
          <w:tcPr>
            <w:tcW w:w="890" w:type="dxa"/>
            <w:shd w:val="clear" w:color="auto" w:fill="auto"/>
            <w:vAlign w:val="center"/>
          </w:tcPr>
          <w:p w14:paraId="26EC8EB2" w14:textId="77777777" w:rsidR="00C25888" w:rsidRDefault="00C25888" w:rsidP="00C25888">
            <w:pPr>
              <w:jc w:val="center"/>
            </w:pPr>
            <w:r>
              <w:lastRenderedPageBreak/>
              <w:t>6</w:t>
            </w:r>
          </w:p>
        </w:tc>
        <w:tc>
          <w:tcPr>
            <w:tcW w:w="2479" w:type="dxa"/>
            <w:vAlign w:val="center"/>
          </w:tcPr>
          <w:p w14:paraId="26EC8EB3" w14:textId="77777777" w:rsidR="00C25888" w:rsidRDefault="00C25888" w:rsidP="00C25888">
            <w:pPr>
              <w:jc w:val="center"/>
            </w:pPr>
            <w:r>
              <w:t>29.</w:t>
            </w:r>
          </w:p>
        </w:tc>
        <w:tc>
          <w:tcPr>
            <w:tcW w:w="6636" w:type="dxa"/>
            <w:vAlign w:val="center"/>
          </w:tcPr>
          <w:p w14:paraId="26EC8EB4" w14:textId="77777777" w:rsidR="00C25888" w:rsidRDefault="00C25888" w:rsidP="00C25888">
            <w:pPr>
              <w:jc w:val="both"/>
            </w:pPr>
            <w:r>
              <w:t>Огромная просьба к администрации нашего города, в кратчайшие сроки после согласования и утверждения «Генерального плана», предоставить территорию для строительства приюта для животных.</w:t>
            </w:r>
          </w:p>
        </w:tc>
        <w:tc>
          <w:tcPr>
            <w:tcW w:w="4845" w:type="dxa"/>
          </w:tcPr>
          <w:p w14:paraId="27C385FE" w14:textId="77777777" w:rsidR="001B716F" w:rsidRPr="001B13BF" w:rsidRDefault="001B716F" w:rsidP="001B716F">
            <w:pPr>
              <w:jc w:val="both"/>
              <w:rPr>
                <w:rFonts w:eastAsia="Calibri"/>
                <w:bCs/>
                <w:lang w:eastAsia="en-US"/>
              </w:rPr>
            </w:pPr>
            <w:r w:rsidRPr="001B13BF">
              <w:rPr>
                <w:rFonts w:eastAsia="Calibri"/>
                <w:bCs/>
                <w:lang w:eastAsia="en-US"/>
              </w:rPr>
              <w:t xml:space="preserve">Предложение </w:t>
            </w:r>
            <w:r>
              <w:rPr>
                <w:rFonts w:eastAsia="Calibri"/>
                <w:bCs/>
                <w:lang w:eastAsia="en-US"/>
              </w:rPr>
              <w:t>рассмотрено.</w:t>
            </w:r>
          </w:p>
          <w:p w14:paraId="12F8223D" w14:textId="77777777" w:rsidR="001B716F" w:rsidRDefault="001B716F" w:rsidP="001B716F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 градостроительных регламентах Правил землепользования и застройки г. Нефтеюганска предусмотрена возможность размещения таких объектов. В</w:t>
            </w:r>
            <w:r w:rsidRPr="00F80B1C">
              <w:rPr>
                <w:rFonts w:eastAsia="Calibri"/>
                <w:bCs/>
                <w:lang w:eastAsia="en-US"/>
              </w:rPr>
              <w:t>ид разрешенного использования «Приюты для животных» добавлен</w:t>
            </w:r>
            <w:r>
              <w:t xml:space="preserve"> в </w:t>
            </w:r>
            <w:r w:rsidRPr="00F80B1C">
              <w:rPr>
                <w:rFonts w:eastAsia="Calibri"/>
                <w:bCs/>
                <w:lang w:eastAsia="en-US"/>
              </w:rPr>
              <w:t>зон</w:t>
            </w:r>
            <w:r>
              <w:rPr>
                <w:rFonts w:eastAsia="Calibri"/>
                <w:bCs/>
                <w:lang w:eastAsia="en-US"/>
              </w:rPr>
              <w:t>у</w:t>
            </w:r>
            <w:r w:rsidRPr="00F80B1C">
              <w:rPr>
                <w:rFonts w:eastAsia="Calibri"/>
                <w:bCs/>
                <w:lang w:eastAsia="en-US"/>
              </w:rPr>
              <w:t xml:space="preserve"> коммунально-складского назначения (КС)</w:t>
            </w:r>
            <w:r>
              <w:rPr>
                <w:rFonts w:eastAsia="Calibri"/>
                <w:bCs/>
                <w:lang w:eastAsia="en-US"/>
              </w:rPr>
              <w:t xml:space="preserve">, </w:t>
            </w:r>
            <w:r w:rsidRPr="00F80B1C">
              <w:rPr>
                <w:rFonts w:eastAsia="Calibri"/>
                <w:bCs/>
                <w:lang w:eastAsia="en-US"/>
              </w:rPr>
              <w:t>в зону промышленных предприятий III класса опасности (П.3) и в зону промышленных предприятий IV класса опасности (П.4) в основные виды разрешённого использования земельных участков</w:t>
            </w:r>
            <w:r>
              <w:rPr>
                <w:rFonts w:eastAsia="Calibri"/>
                <w:bCs/>
                <w:lang w:eastAsia="en-US"/>
              </w:rPr>
              <w:t xml:space="preserve">. </w:t>
            </w:r>
          </w:p>
          <w:p w14:paraId="26EC8EB5" w14:textId="48EFB4FC" w:rsidR="00C25888" w:rsidRPr="001B716F" w:rsidRDefault="001B716F" w:rsidP="00C25888">
            <w:pPr>
              <w:jc w:val="both"/>
            </w:pPr>
            <w:r>
              <w:rPr>
                <w:rFonts w:eastAsia="Calibri"/>
                <w:bCs/>
                <w:lang w:eastAsia="en-US"/>
              </w:rPr>
              <w:t>Приобретение земельных участков в границах указанных территориальных зон осуществляется в порядке, предусмотренном Земельным кодексом РФ</w:t>
            </w:r>
          </w:p>
        </w:tc>
      </w:tr>
    </w:tbl>
    <w:p w14:paraId="26EC8EB7" w14:textId="77777777" w:rsidR="00C25888" w:rsidRDefault="00C25888" w:rsidP="006A4A73">
      <w:pPr>
        <w:tabs>
          <w:tab w:val="left" w:pos="5670"/>
        </w:tabs>
      </w:pPr>
      <w:r>
        <w:t xml:space="preserve">* </w:t>
      </w:r>
      <w:r w:rsidRPr="00BC48CA">
        <w:rPr>
          <w:i/>
        </w:rPr>
        <w:t xml:space="preserve">выдержка из обращения </w:t>
      </w:r>
      <w:r>
        <w:rPr>
          <w:i/>
        </w:rPr>
        <w:t>заявителя</w:t>
      </w:r>
    </w:p>
    <w:p w14:paraId="26EC8EB8" w14:textId="77777777" w:rsidR="00C25888" w:rsidRPr="00C8243F" w:rsidRDefault="00C25888" w:rsidP="00C25888">
      <w:pPr>
        <w:tabs>
          <w:tab w:val="left" w:pos="851"/>
        </w:tabs>
        <w:jc w:val="both"/>
      </w:pPr>
      <w:r>
        <w:t xml:space="preserve">** </w:t>
      </w:r>
      <w:r>
        <w:rPr>
          <w:i/>
        </w:rPr>
        <w:t>Те</w:t>
      </w:r>
      <w:proofErr w:type="gramStart"/>
      <w:r>
        <w:rPr>
          <w:i/>
        </w:rPr>
        <w:t>кст пр</w:t>
      </w:r>
      <w:proofErr w:type="gramEnd"/>
      <w:r>
        <w:rPr>
          <w:i/>
        </w:rPr>
        <w:t xml:space="preserve">едложений и замечаний от участников публичных слушаний департаментом градостроительства и земельных отношений администрации города Нефтеюганска </w:t>
      </w:r>
      <w:r>
        <w:rPr>
          <w:i/>
          <w:u w:val="single"/>
        </w:rPr>
        <w:t>не рецензируется и не редактируется</w:t>
      </w:r>
      <w:r>
        <w:t xml:space="preserve">. </w:t>
      </w:r>
    </w:p>
    <w:sectPr w:rsidR="00C25888" w:rsidRPr="00C8243F" w:rsidSect="006A4A73">
      <w:headerReference w:type="default" r:id="rId11"/>
      <w:footerReference w:type="default" r:id="rId12"/>
      <w:pgSz w:w="16838" w:h="11906" w:orient="landscape" w:code="9"/>
      <w:pgMar w:top="425" w:right="1134" w:bottom="425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A7FA13" w14:textId="77777777" w:rsidR="006E3905" w:rsidRDefault="006E3905" w:rsidP="00D949A4">
      <w:r>
        <w:separator/>
      </w:r>
    </w:p>
  </w:endnote>
  <w:endnote w:type="continuationSeparator" w:id="0">
    <w:p w14:paraId="5AD3B9DE" w14:textId="77777777" w:rsidR="006E3905" w:rsidRDefault="006E3905" w:rsidP="00D949A4">
      <w:r>
        <w:continuationSeparator/>
      </w:r>
    </w:p>
  </w:endnote>
  <w:endnote w:type="continuationNotice" w:id="1">
    <w:p w14:paraId="7E4A645B" w14:textId="77777777" w:rsidR="006E3905" w:rsidRDefault="006E39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C8EBF" w14:textId="77777777" w:rsidR="006E3905" w:rsidRDefault="006E3905">
    <w:pPr>
      <w:pStyle w:val="aa"/>
      <w:jc w:val="center"/>
    </w:pPr>
  </w:p>
  <w:p w14:paraId="26EC8EC0" w14:textId="77777777" w:rsidR="006E3905" w:rsidRDefault="006E390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B2965" w14:textId="77777777" w:rsidR="006E3905" w:rsidRDefault="006E3905" w:rsidP="00D949A4">
      <w:r>
        <w:separator/>
      </w:r>
    </w:p>
  </w:footnote>
  <w:footnote w:type="continuationSeparator" w:id="0">
    <w:p w14:paraId="1F55CEEB" w14:textId="77777777" w:rsidR="006E3905" w:rsidRDefault="006E3905" w:rsidP="00D949A4">
      <w:r>
        <w:continuationSeparator/>
      </w:r>
    </w:p>
  </w:footnote>
  <w:footnote w:type="continuationNotice" w:id="1">
    <w:p w14:paraId="3DE5B515" w14:textId="77777777" w:rsidR="006E3905" w:rsidRDefault="006E39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57394"/>
      <w:docPartObj>
        <w:docPartGallery w:val="Page Numbers (Top of Page)"/>
        <w:docPartUnique/>
      </w:docPartObj>
    </w:sdtPr>
    <w:sdtEndPr/>
    <w:sdtContent>
      <w:p w14:paraId="26EC8EBD" w14:textId="32DA2F63" w:rsidR="006E3905" w:rsidRDefault="006E390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9E8">
          <w:rPr>
            <w:noProof/>
          </w:rPr>
          <w:t>4</w:t>
        </w:r>
        <w:r>
          <w:fldChar w:fldCharType="end"/>
        </w:r>
      </w:p>
    </w:sdtContent>
  </w:sdt>
  <w:p w14:paraId="26EC8EBE" w14:textId="77777777" w:rsidR="006E3905" w:rsidRDefault="006E39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4D"/>
    <w:multiLevelType w:val="singleLevel"/>
    <w:tmpl w:val="8A961C7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2E040C3F"/>
    <w:multiLevelType w:val="singleLevel"/>
    <w:tmpl w:val="182819D6"/>
    <w:lvl w:ilvl="0">
      <w:start w:val="10"/>
      <w:numFmt w:val="decimal"/>
      <w:lvlText w:val="%1."/>
      <w:legacy w:legacy="1" w:legacySpace="0" w:legacyIndent="302"/>
      <w:lvlJc w:val="left"/>
      <w:rPr>
        <w:rFonts w:ascii="Times New Roman CYR" w:hAnsi="Times New Roman CYR" w:cs="Times New Roman CYR" w:hint="default"/>
      </w:rPr>
    </w:lvl>
  </w:abstractNum>
  <w:abstractNum w:abstractNumId="2">
    <w:nsid w:val="636D237D"/>
    <w:multiLevelType w:val="multilevel"/>
    <w:tmpl w:val="FFFA9CC8"/>
    <w:styleLink w:val="1ai1"/>
    <w:lvl w:ilvl="0">
      <w:start w:val="1"/>
      <w:numFmt w:val="bullet"/>
      <w:pStyle w:val="a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-283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3">
    <w:nsid w:val="7E4154EA"/>
    <w:multiLevelType w:val="hybridMultilevel"/>
    <w:tmpl w:val="909653DA"/>
    <w:lvl w:ilvl="0" w:tplc="182CCDA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82"/>
    <w:rsid w:val="0001143C"/>
    <w:rsid w:val="00035DF2"/>
    <w:rsid w:val="000540E0"/>
    <w:rsid w:val="00085EC5"/>
    <w:rsid w:val="000D266F"/>
    <w:rsid w:val="000D578F"/>
    <w:rsid w:val="000F345B"/>
    <w:rsid w:val="001B31A9"/>
    <w:rsid w:val="001B582A"/>
    <w:rsid w:val="001B716F"/>
    <w:rsid w:val="001D1FD0"/>
    <w:rsid w:val="001F734B"/>
    <w:rsid w:val="002215D2"/>
    <w:rsid w:val="00223D59"/>
    <w:rsid w:val="00226B77"/>
    <w:rsid w:val="00233AA5"/>
    <w:rsid w:val="00281490"/>
    <w:rsid w:val="00290A5B"/>
    <w:rsid w:val="002E5DEE"/>
    <w:rsid w:val="00326023"/>
    <w:rsid w:val="00337C63"/>
    <w:rsid w:val="00353110"/>
    <w:rsid w:val="00362059"/>
    <w:rsid w:val="0038449E"/>
    <w:rsid w:val="003A0609"/>
    <w:rsid w:val="003B5377"/>
    <w:rsid w:val="003B7375"/>
    <w:rsid w:val="003C7A8E"/>
    <w:rsid w:val="003E437D"/>
    <w:rsid w:val="003E7CD2"/>
    <w:rsid w:val="00433ED9"/>
    <w:rsid w:val="004429AD"/>
    <w:rsid w:val="00495358"/>
    <w:rsid w:val="004C34F5"/>
    <w:rsid w:val="004D5EFE"/>
    <w:rsid w:val="0051523C"/>
    <w:rsid w:val="005169F5"/>
    <w:rsid w:val="00537577"/>
    <w:rsid w:val="00550EFA"/>
    <w:rsid w:val="005613B3"/>
    <w:rsid w:val="00585A7F"/>
    <w:rsid w:val="00586300"/>
    <w:rsid w:val="00587800"/>
    <w:rsid w:val="00587DA6"/>
    <w:rsid w:val="005A70EE"/>
    <w:rsid w:val="006315BB"/>
    <w:rsid w:val="00635C4D"/>
    <w:rsid w:val="00636017"/>
    <w:rsid w:val="0067360D"/>
    <w:rsid w:val="00696515"/>
    <w:rsid w:val="006A4A73"/>
    <w:rsid w:val="006B4655"/>
    <w:rsid w:val="006E3905"/>
    <w:rsid w:val="00703E0D"/>
    <w:rsid w:val="00726489"/>
    <w:rsid w:val="00733E3B"/>
    <w:rsid w:val="00754832"/>
    <w:rsid w:val="00767D10"/>
    <w:rsid w:val="0078386C"/>
    <w:rsid w:val="007B311C"/>
    <w:rsid w:val="007E6067"/>
    <w:rsid w:val="007F0449"/>
    <w:rsid w:val="007F5300"/>
    <w:rsid w:val="008064A6"/>
    <w:rsid w:val="008137DC"/>
    <w:rsid w:val="00842C00"/>
    <w:rsid w:val="00880982"/>
    <w:rsid w:val="00896753"/>
    <w:rsid w:val="008D5A2A"/>
    <w:rsid w:val="009028AE"/>
    <w:rsid w:val="00960687"/>
    <w:rsid w:val="00963490"/>
    <w:rsid w:val="00990DF8"/>
    <w:rsid w:val="009C05CB"/>
    <w:rsid w:val="009C14CF"/>
    <w:rsid w:val="009C6828"/>
    <w:rsid w:val="009F21AA"/>
    <w:rsid w:val="009F66FE"/>
    <w:rsid w:val="00A073A3"/>
    <w:rsid w:val="00A27CC4"/>
    <w:rsid w:val="00A5062C"/>
    <w:rsid w:val="00A711AE"/>
    <w:rsid w:val="00A76ACF"/>
    <w:rsid w:val="00AB0A83"/>
    <w:rsid w:val="00B2187C"/>
    <w:rsid w:val="00B51D27"/>
    <w:rsid w:val="00B53311"/>
    <w:rsid w:val="00B63B3A"/>
    <w:rsid w:val="00B831B2"/>
    <w:rsid w:val="00B8457B"/>
    <w:rsid w:val="00BC601D"/>
    <w:rsid w:val="00BE6220"/>
    <w:rsid w:val="00C25888"/>
    <w:rsid w:val="00CA5523"/>
    <w:rsid w:val="00CB5E8F"/>
    <w:rsid w:val="00CD0EF5"/>
    <w:rsid w:val="00D0792F"/>
    <w:rsid w:val="00D259C3"/>
    <w:rsid w:val="00D57F25"/>
    <w:rsid w:val="00D949A4"/>
    <w:rsid w:val="00DE756A"/>
    <w:rsid w:val="00DF066B"/>
    <w:rsid w:val="00E12A55"/>
    <w:rsid w:val="00E33421"/>
    <w:rsid w:val="00E52FE4"/>
    <w:rsid w:val="00E669E8"/>
    <w:rsid w:val="00EB202B"/>
    <w:rsid w:val="00EB4DD1"/>
    <w:rsid w:val="00ED2657"/>
    <w:rsid w:val="00EE4CE2"/>
    <w:rsid w:val="00F02EB3"/>
    <w:rsid w:val="00F22019"/>
    <w:rsid w:val="00F51C31"/>
    <w:rsid w:val="00F61527"/>
    <w:rsid w:val="00F67E22"/>
    <w:rsid w:val="00F9120C"/>
    <w:rsid w:val="00FC0FF2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8E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0"/>
    <w:uiPriority w:val="34"/>
    <w:qFormat/>
    <w:rsid w:val="00DE756A"/>
    <w:pPr>
      <w:ind w:left="720"/>
      <w:contextualSpacing/>
    </w:pPr>
  </w:style>
  <w:style w:type="paragraph" w:styleId="a8">
    <w:name w:val="header"/>
    <w:basedOn w:val="a0"/>
    <w:link w:val="a9"/>
    <w:uiPriority w:val="99"/>
    <w:unhideWhenUsed/>
    <w:rsid w:val="00D949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94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D949A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D94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link w:val="ac"/>
    <w:rsid w:val="006E3905"/>
    <w:pPr>
      <w:numPr>
        <w:numId w:val="5"/>
      </w:numPr>
      <w:spacing w:after="60"/>
      <w:jc w:val="both"/>
    </w:pPr>
    <w:rPr>
      <w:snapToGrid w:val="0"/>
    </w:rPr>
  </w:style>
  <w:style w:type="character" w:customStyle="1" w:styleId="ac">
    <w:name w:val="Список Знак"/>
    <w:link w:val="a"/>
    <w:rsid w:val="006E3905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numbering" w:customStyle="1" w:styleId="1ai1">
    <w:name w:val="1 / a / i1"/>
    <w:basedOn w:val="a3"/>
    <w:next w:val="1ai"/>
    <w:rsid w:val="006E3905"/>
    <w:pPr>
      <w:numPr>
        <w:numId w:val="5"/>
      </w:numPr>
    </w:pPr>
  </w:style>
  <w:style w:type="numbering" w:styleId="1ai">
    <w:name w:val="Outline List 1"/>
    <w:basedOn w:val="a3"/>
    <w:uiPriority w:val="99"/>
    <w:semiHidden/>
    <w:unhideWhenUsed/>
    <w:rsid w:val="006E3905"/>
  </w:style>
  <w:style w:type="character" w:styleId="ad">
    <w:name w:val="annotation reference"/>
    <w:basedOn w:val="a1"/>
    <w:uiPriority w:val="99"/>
    <w:semiHidden/>
    <w:unhideWhenUsed/>
    <w:rsid w:val="00F67E22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F67E22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F67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67E2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67E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0"/>
    <w:uiPriority w:val="34"/>
    <w:qFormat/>
    <w:rsid w:val="00DE756A"/>
    <w:pPr>
      <w:ind w:left="720"/>
      <w:contextualSpacing/>
    </w:pPr>
  </w:style>
  <w:style w:type="paragraph" w:styleId="a8">
    <w:name w:val="header"/>
    <w:basedOn w:val="a0"/>
    <w:link w:val="a9"/>
    <w:uiPriority w:val="99"/>
    <w:unhideWhenUsed/>
    <w:rsid w:val="00D949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94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D949A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D94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link w:val="ac"/>
    <w:rsid w:val="006E3905"/>
    <w:pPr>
      <w:numPr>
        <w:numId w:val="5"/>
      </w:numPr>
      <w:spacing w:after="60"/>
      <w:jc w:val="both"/>
    </w:pPr>
    <w:rPr>
      <w:snapToGrid w:val="0"/>
    </w:rPr>
  </w:style>
  <w:style w:type="character" w:customStyle="1" w:styleId="ac">
    <w:name w:val="Список Знак"/>
    <w:link w:val="a"/>
    <w:rsid w:val="006E3905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numbering" w:customStyle="1" w:styleId="1ai1">
    <w:name w:val="1 / a / i1"/>
    <w:basedOn w:val="a3"/>
    <w:next w:val="1ai"/>
    <w:rsid w:val="006E3905"/>
    <w:pPr>
      <w:numPr>
        <w:numId w:val="5"/>
      </w:numPr>
    </w:pPr>
  </w:style>
  <w:style w:type="numbering" w:styleId="1ai">
    <w:name w:val="Outline List 1"/>
    <w:basedOn w:val="a3"/>
    <w:uiPriority w:val="99"/>
    <w:semiHidden/>
    <w:unhideWhenUsed/>
    <w:rsid w:val="006E3905"/>
  </w:style>
  <w:style w:type="character" w:styleId="ad">
    <w:name w:val="annotation reference"/>
    <w:basedOn w:val="a1"/>
    <w:uiPriority w:val="99"/>
    <w:semiHidden/>
    <w:unhideWhenUsed/>
    <w:rsid w:val="00F67E22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F67E22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F67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67E2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67E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9468C5-F86D-4A74-9580-4B33C109C3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570F42-3A25-443C-9A20-DC09CB91BDED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7A8AC-7BCF-467E-BEF0-CA2F493C7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Stadnik</cp:lastModifiedBy>
  <cp:revision>5</cp:revision>
  <cp:lastPrinted>2019-09-30T10:25:00Z</cp:lastPrinted>
  <dcterms:created xsi:type="dcterms:W3CDTF">2019-10-02T13:46:00Z</dcterms:created>
  <dcterms:modified xsi:type="dcterms:W3CDTF">2019-10-03T06:38:00Z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