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A8" w:rsidRPr="007304E8" w:rsidRDefault="00ED60A8" w:rsidP="00AA4146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4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ED60A8" w:rsidRPr="007304E8" w:rsidRDefault="00ED60A8" w:rsidP="00182BAD">
      <w:pPr>
        <w:pStyle w:val="ConsPlusTitle"/>
        <w:ind w:firstLine="708"/>
        <w:jc w:val="center"/>
        <w:rPr>
          <w:b w:val="0"/>
          <w:color w:val="000000"/>
          <w:sz w:val="28"/>
          <w:szCs w:val="28"/>
        </w:rPr>
      </w:pPr>
      <w:r w:rsidRPr="007304E8">
        <w:rPr>
          <w:b w:val="0"/>
          <w:color w:val="000000"/>
          <w:sz w:val="28"/>
          <w:szCs w:val="28"/>
        </w:rPr>
        <w:t xml:space="preserve">к проекту </w:t>
      </w:r>
      <w:r w:rsidRPr="007304E8">
        <w:rPr>
          <w:b w:val="0"/>
          <w:bCs w:val="0"/>
          <w:color w:val="000000"/>
          <w:sz w:val="28"/>
          <w:szCs w:val="28"/>
        </w:rPr>
        <w:t xml:space="preserve">постановления администрации города </w:t>
      </w:r>
      <w:r w:rsidRPr="007304E8">
        <w:rPr>
          <w:b w:val="0"/>
          <w:color w:val="000000"/>
          <w:sz w:val="28"/>
          <w:szCs w:val="28"/>
        </w:rPr>
        <w:t>Нефтеюганска</w:t>
      </w:r>
    </w:p>
    <w:p w:rsidR="0085449D" w:rsidRPr="00B73785" w:rsidRDefault="0085449D" w:rsidP="00B73785">
      <w:pPr>
        <w:autoSpaceDE w:val="0"/>
        <w:jc w:val="center"/>
        <w:rPr>
          <w:bCs/>
          <w:sz w:val="28"/>
          <w:szCs w:val="28"/>
        </w:rPr>
      </w:pPr>
      <w:r w:rsidRPr="0010052D">
        <w:rPr>
          <w:sz w:val="28"/>
          <w:szCs w:val="28"/>
        </w:rPr>
        <w:t xml:space="preserve">Нефтеюганска </w:t>
      </w:r>
      <w:r w:rsidRPr="00B73785">
        <w:rPr>
          <w:sz w:val="28"/>
          <w:szCs w:val="28"/>
        </w:rPr>
        <w:t>«</w:t>
      </w:r>
      <w:r w:rsidR="00B73785" w:rsidRPr="00B73785">
        <w:rPr>
          <w:bCs/>
          <w:sz w:val="28"/>
          <w:szCs w:val="28"/>
        </w:rPr>
        <w:t>Об утверждении а</w:t>
      </w:r>
      <w:r w:rsidR="00B73785">
        <w:rPr>
          <w:bCs/>
          <w:sz w:val="28"/>
          <w:szCs w:val="28"/>
        </w:rPr>
        <w:t xml:space="preserve">дминистративного регламента </w:t>
      </w:r>
      <w:r w:rsidR="00B73785" w:rsidRPr="00B73785">
        <w:rPr>
          <w:bCs/>
          <w:sz w:val="28"/>
          <w:szCs w:val="28"/>
        </w:rPr>
        <w:t>предоставления муниципальной услуги «</w:t>
      </w:r>
      <w:r w:rsidR="00B73785" w:rsidRPr="00B73785">
        <w:rPr>
          <w:sz w:val="28"/>
          <w:szCs w:val="28"/>
        </w:rPr>
        <w:t xml:space="preserve">Уведомительная </w:t>
      </w:r>
      <w:r w:rsidR="00B73785">
        <w:rPr>
          <w:sz w:val="28"/>
          <w:szCs w:val="28"/>
        </w:rPr>
        <w:t xml:space="preserve">регистрация трудового договора, </w:t>
      </w:r>
      <w:r w:rsidR="00B73785" w:rsidRPr="00B73785">
        <w:rPr>
          <w:sz w:val="28"/>
          <w:szCs w:val="28"/>
        </w:rPr>
        <w:t>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</w:p>
    <w:p w:rsidR="00ED60A8" w:rsidRPr="007304E8" w:rsidRDefault="00ED60A8" w:rsidP="00182BAD">
      <w:pPr>
        <w:jc w:val="center"/>
        <w:rPr>
          <w:color w:val="000000"/>
          <w:sz w:val="6"/>
        </w:rPr>
      </w:pPr>
    </w:p>
    <w:p w:rsidR="00ED60A8" w:rsidRPr="009612F3" w:rsidRDefault="00ED60A8" w:rsidP="00AA4146">
      <w:pPr>
        <w:pStyle w:val="ConsPlusNonformat"/>
        <w:widowControl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1"/>
        <w:gridCol w:w="3405"/>
        <w:gridCol w:w="5644"/>
        <w:gridCol w:w="11"/>
      </w:tblGrid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проекта: орган (структурное подразделение) администрации города Нефтеюганска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D60A8" w:rsidRPr="009612F3" w:rsidTr="00BF4089">
        <w:trPr>
          <w:gridAfter w:val="1"/>
          <w:wAfter w:w="11" w:type="dxa"/>
          <w:trHeight w:val="948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5" w:type="dxa"/>
          </w:tcPr>
          <w:p w:rsidR="00ED60A8" w:rsidRPr="008F30D3" w:rsidRDefault="00ED60A8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обоснование проекта</w:t>
            </w:r>
          </w:p>
          <w:p w:rsidR="00ED60A8" w:rsidRPr="008F30D3" w:rsidRDefault="00ED60A8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0A8" w:rsidRPr="008F30D3" w:rsidRDefault="00ED60A8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ED60A8" w:rsidRPr="00B73785" w:rsidRDefault="00B73785" w:rsidP="0019130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785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рудовой кодекс</w:t>
            </w:r>
            <w:r w:rsidRPr="00B73785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Российской Федерации, Федеральным законом от 27.07.2010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B73785" w:rsidRPr="0085449D" w:rsidRDefault="001220B8" w:rsidP="00B73785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1220B8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27.07.2010 № 210-ФЗ «Об организации предоставления государственных и муниципальных услуг»,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20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 от 05.09.2013 № 88-нп «О разработке и утверждении административных регламентов предоставления муниципальных услуг», от 26.06.2017 № 111-нп «Об утверждении реестра муниципальных услуг муниципального образования город Нефтеюганск</w:t>
            </w:r>
          </w:p>
          <w:p w:rsidR="00ED60A8" w:rsidRPr="0085449D" w:rsidRDefault="00ED60A8" w:rsidP="001220B8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5644" w:type="dxa"/>
          </w:tcPr>
          <w:p w:rsidR="00ED60A8" w:rsidRPr="004B0A0B" w:rsidRDefault="004B0A0B" w:rsidP="004B0A0B">
            <w:pPr>
              <w:autoSpaceDE w:val="0"/>
              <w:jc w:val="both"/>
              <w:rPr>
                <w:bCs/>
              </w:rPr>
            </w:pPr>
            <w:r w:rsidRPr="004B0A0B">
              <w:t>Федеральный закон от 27.07.2010 № 210-ФЗ «Об организации предоставления государственных и муниципальных услуг», Модельный акт «</w:t>
            </w:r>
            <w:r w:rsidRPr="004B0A0B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4B0A0B">
              <w:t>Уведомительная регистрация трудового договора,</w:t>
            </w:r>
            <w:r w:rsidRPr="004B0A0B">
              <w:br/>
              <w:t>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</w:tc>
      </w:tr>
      <w:tr w:rsidR="00ED60A8" w:rsidRPr="001220B8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целей (задач), основных положений предмета регулирования проекта*</w:t>
            </w:r>
          </w:p>
        </w:tc>
        <w:tc>
          <w:tcPr>
            <w:tcW w:w="5644" w:type="dxa"/>
          </w:tcPr>
          <w:p w:rsidR="00ED60A8" w:rsidRPr="00B73785" w:rsidRDefault="00B73785" w:rsidP="00B73785">
            <w:pPr>
              <w:pStyle w:val="a8"/>
              <w:spacing w:before="0" w:after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73785">
              <w:rPr>
                <w:sz w:val="24"/>
                <w:szCs w:val="24"/>
              </w:rPr>
              <w:t xml:space="preserve">Устанавливает сроки и последовательность административных процедур и административных действий </w:t>
            </w:r>
            <w:r w:rsidRPr="00B73785">
              <w:rPr>
                <w:rFonts w:eastAsia="Calibri"/>
                <w:sz w:val="24"/>
                <w:szCs w:val="24"/>
              </w:rPr>
              <w:t xml:space="preserve">администрации города Нефтеюганска в лице </w:t>
            </w:r>
            <w:r w:rsidRPr="00B73785">
              <w:rPr>
                <w:rStyle w:val="a7"/>
                <w:b w:val="0"/>
                <w:sz w:val="24"/>
                <w:szCs w:val="24"/>
              </w:rPr>
              <w:t>депа</w:t>
            </w:r>
            <w:r w:rsidRPr="00B73785">
              <w:rPr>
                <w:rStyle w:val="a7"/>
                <w:b w:val="0"/>
                <w:sz w:val="24"/>
                <w:szCs w:val="24"/>
              </w:rPr>
              <w:t>р</w:t>
            </w:r>
            <w:r w:rsidRPr="00B73785">
              <w:rPr>
                <w:rStyle w:val="a7"/>
                <w:b w:val="0"/>
                <w:sz w:val="24"/>
                <w:szCs w:val="24"/>
              </w:rPr>
              <w:t>тамента экономического развития  администрации города Нефтеюганска</w:t>
            </w:r>
            <w:r w:rsidRPr="00B73785">
              <w:rPr>
                <w:sz w:val="24"/>
                <w:szCs w:val="24"/>
              </w:rPr>
              <w:t xml:space="preserve">, предоставляющего муниципальную услугу </w:t>
            </w:r>
            <w:r w:rsidRPr="00B73785">
              <w:rPr>
                <w:rFonts w:eastAsia="Calibri"/>
                <w:sz w:val="24"/>
                <w:szCs w:val="24"/>
              </w:rPr>
              <w:t>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  <w:r w:rsidRPr="00B73785">
              <w:rPr>
                <w:sz w:val="24"/>
                <w:szCs w:val="24"/>
              </w:rPr>
              <w:t>, по запросу заявителя либо его уполномоченного представителя, а также устанавливает порядок взаимодействия уполномоченного органа</w:t>
            </w:r>
            <w:proofErr w:type="gramEnd"/>
            <w:r w:rsidRPr="00B73785">
              <w:rPr>
                <w:sz w:val="24"/>
                <w:szCs w:val="24"/>
              </w:rPr>
              <w:t xml:space="preserve"> с заявителями в процессе предоставления муниципальной услуги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D60A8" w:rsidRPr="009612F3" w:rsidTr="00BF4089">
        <w:tc>
          <w:tcPr>
            <w:tcW w:w="701" w:type="dxa"/>
            <w:vMerge w:val="restart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3.1*</w:t>
            </w:r>
          </w:p>
        </w:tc>
        <w:tc>
          <w:tcPr>
            <w:tcW w:w="9060" w:type="dxa"/>
            <w:gridSpan w:val="3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 в случае если проектом предусматривается внесение изменений в </w:t>
            </w: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действующий правовой акт – Сравнительный анализ редакций</w:t>
            </w:r>
          </w:p>
        </w:tc>
      </w:tr>
      <w:tr w:rsidR="00ED60A8" w:rsidRPr="009612F3" w:rsidTr="00BF4089">
        <w:trPr>
          <w:gridAfter w:val="1"/>
          <w:wAfter w:w="11" w:type="dxa"/>
          <w:trHeight w:val="327"/>
        </w:trPr>
        <w:tc>
          <w:tcPr>
            <w:tcW w:w="701" w:type="dxa"/>
            <w:vMerge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 редакция</w:t>
            </w:r>
          </w:p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акта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Редакция </w:t>
            </w:r>
          </w:p>
          <w:p w:rsidR="00ED60A8" w:rsidRPr="009612F3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proofErr w:type="gramStart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предложенная</w:t>
            </w:r>
            <w:proofErr w:type="gramEnd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проектом</w:t>
            </w:r>
            <w:r w:rsidRPr="009612F3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</w:p>
        </w:tc>
      </w:tr>
      <w:tr w:rsidR="00ED60A8" w:rsidRPr="009612F3" w:rsidTr="00BF4089">
        <w:trPr>
          <w:gridAfter w:val="1"/>
          <w:wAfter w:w="11" w:type="dxa"/>
          <w:trHeight w:val="335"/>
        </w:trPr>
        <w:tc>
          <w:tcPr>
            <w:tcW w:w="701" w:type="dxa"/>
            <w:vMerge/>
          </w:tcPr>
          <w:p w:rsidR="00ED60A8" w:rsidRPr="009612F3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ED60A8" w:rsidRPr="009612F3" w:rsidRDefault="00ED60A8" w:rsidP="00BF4089">
            <w:pPr>
              <w:pStyle w:val="ConsPlusNonformat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bottom w:val="single" w:sz="4" w:space="0" w:color="auto"/>
            </w:tcBorders>
          </w:tcPr>
          <w:p w:rsidR="00ED60A8" w:rsidRPr="007304E8" w:rsidRDefault="00ED60A8" w:rsidP="00BF4089">
            <w:pPr>
              <w:pStyle w:val="21"/>
              <w:tabs>
                <w:tab w:val="left" w:pos="709"/>
              </w:tabs>
              <w:rPr>
                <w:color w:val="000000"/>
                <w:sz w:val="24"/>
                <w:szCs w:val="24"/>
              </w:rPr>
            </w:pP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Нефтеюганским</w:t>
            </w:r>
            <w:proofErr w:type="spellEnd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территориальными объединениями работодателей, профсоюзов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proofErr w:type="spellStart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 (в том числе независимой)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необходимости/отсутствии необходимости проведения финансово-экономической экспертизы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8F30D3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необходимости/отсутствии необходимости опубликования правового акта, размещении на официальном сайте </w:t>
            </w:r>
          </w:p>
        </w:tc>
        <w:tc>
          <w:tcPr>
            <w:tcW w:w="5644" w:type="dxa"/>
          </w:tcPr>
          <w:p w:rsidR="00ED60A8" w:rsidRDefault="00ED60A8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официальном сайте органов местного самоуправления города Нефтеюганска в сети Интернет.</w:t>
            </w:r>
          </w:p>
          <w:p w:rsidR="0085449D" w:rsidRPr="007304E8" w:rsidRDefault="0085449D" w:rsidP="00BF40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Обнародовать в газете «Здравствуйте, нефтеюганцы!»</w:t>
            </w:r>
          </w:p>
        </w:tc>
      </w:tr>
      <w:tr w:rsidR="00ED60A8" w:rsidRPr="009612F3" w:rsidTr="00BF4089">
        <w:trPr>
          <w:gridAfter w:val="1"/>
          <w:wAfter w:w="11" w:type="dxa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5644" w:type="dxa"/>
          </w:tcPr>
          <w:p w:rsidR="00ED60A8" w:rsidRPr="007304E8" w:rsidRDefault="00ED60A8" w:rsidP="008544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Постановление вступает в силу после </w:t>
            </w:r>
            <w:r w:rsidR="0085449D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официального опубликования</w:t>
            </w:r>
            <w:r w:rsidRPr="007304E8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</w:t>
            </w:r>
          </w:p>
        </w:tc>
      </w:tr>
      <w:tr w:rsidR="00ED60A8" w:rsidRPr="009612F3" w:rsidTr="00BF4089">
        <w:trPr>
          <w:gridAfter w:val="1"/>
          <w:wAfter w:w="11" w:type="dxa"/>
          <w:trHeight w:val="70"/>
        </w:trPr>
        <w:tc>
          <w:tcPr>
            <w:tcW w:w="701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5" w:type="dxa"/>
          </w:tcPr>
          <w:p w:rsidR="00ED60A8" w:rsidRPr="007304E8" w:rsidRDefault="00ED60A8" w:rsidP="00BF408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к проекту</w:t>
            </w:r>
          </w:p>
        </w:tc>
        <w:tc>
          <w:tcPr>
            <w:tcW w:w="5644" w:type="dxa"/>
          </w:tcPr>
          <w:p w:rsidR="00ED60A8" w:rsidRPr="007304E8" w:rsidRDefault="00ED60A8" w:rsidP="00BF4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D60A8" w:rsidRDefault="00ED60A8" w:rsidP="00AA4146">
      <w:pPr>
        <w:pStyle w:val="ConsPlusNonformat"/>
        <w:widowControl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86562B" w:rsidRDefault="0086562B" w:rsidP="00B809F5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ED60A8" w:rsidRPr="007304E8" w:rsidRDefault="0086562B" w:rsidP="00B809F5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D60A8" w:rsidRPr="007304E8">
        <w:rPr>
          <w:color w:val="000000"/>
          <w:sz w:val="28"/>
          <w:szCs w:val="28"/>
        </w:rPr>
        <w:t xml:space="preserve">иректор                                                                                   </w:t>
      </w:r>
      <w:r w:rsidR="00B80B2B">
        <w:rPr>
          <w:color w:val="000000"/>
          <w:sz w:val="28"/>
          <w:szCs w:val="28"/>
        </w:rPr>
        <w:t xml:space="preserve">       </w:t>
      </w:r>
      <w:r w:rsidR="00ED60A8" w:rsidRPr="007304E8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Григорьева</w:t>
      </w:r>
      <w:r w:rsidR="00ED60A8" w:rsidRPr="007304E8">
        <w:rPr>
          <w:color w:val="000000"/>
          <w:sz w:val="28"/>
          <w:szCs w:val="28"/>
        </w:rPr>
        <w:t xml:space="preserve"> </w:t>
      </w:r>
    </w:p>
    <w:p w:rsidR="00ED60A8" w:rsidRDefault="00ED60A8" w:rsidP="00112ADC">
      <w:pPr>
        <w:jc w:val="both"/>
        <w:rPr>
          <w:color w:val="000000"/>
          <w:sz w:val="28"/>
          <w:szCs w:val="28"/>
        </w:rPr>
      </w:pPr>
    </w:p>
    <w:p w:rsidR="00182BAD" w:rsidRDefault="00182BAD" w:rsidP="00112ADC">
      <w:pPr>
        <w:jc w:val="both"/>
        <w:rPr>
          <w:color w:val="000000"/>
          <w:sz w:val="28"/>
          <w:szCs w:val="28"/>
        </w:rPr>
      </w:pPr>
    </w:p>
    <w:p w:rsidR="00182BAD" w:rsidRDefault="00182BAD" w:rsidP="00112ADC">
      <w:pPr>
        <w:jc w:val="both"/>
        <w:rPr>
          <w:color w:val="000000"/>
          <w:sz w:val="28"/>
          <w:szCs w:val="28"/>
        </w:rPr>
      </w:pPr>
    </w:p>
    <w:p w:rsidR="00182BAD" w:rsidRDefault="00182BAD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522AEE" w:rsidRDefault="00522AEE" w:rsidP="00112ADC">
      <w:pPr>
        <w:jc w:val="both"/>
        <w:rPr>
          <w:color w:val="000000"/>
          <w:sz w:val="28"/>
          <w:szCs w:val="28"/>
        </w:rPr>
      </w:pPr>
    </w:p>
    <w:p w:rsidR="00ED60A8" w:rsidRPr="00182BAD" w:rsidRDefault="0086562B">
      <w:pPr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Л.Ф.Дубинская</w:t>
      </w:r>
      <w:r w:rsidR="00ED60A8" w:rsidRPr="00182BAD">
        <w:rPr>
          <w:color w:val="000000"/>
          <w:sz w:val="26"/>
          <w:szCs w:val="26"/>
        </w:rPr>
        <w:t xml:space="preserve"> </w:t>
      </w:r>
    </w:p>
    <w:p w:rsidR="00ED60A8" w:rsidRPr="00182BAD" w:rsidRDefault="00ED60A8">
      <w:pPr>
        <w:rPr>
          <w:color w:val="000000"/>
          <w:sz w:val="26"/>
          <w:szCs w:val="26"/>
        </w:rPr>
      </w:pPr>
      <w:r w:rsidRPr="00182BAD">
        <w:rPr>
          <w:color w:val="000000"/>
          <w:sz w:val="26"/>
          <w:szCs w:val="26"/>
        </w:rPr>
        <w:t xml:space="preserve">23 </w:t>
      </w:r>
      <w:r w:rsidR="0086562B">
        <w:rPr>
          <w:color w:val="000000"/>
          <w:sz w:val="26"/>
          <w:szCs w:val="26"/>
        </w:rPr>
        <w:t>77</w:t>
      </w:r>
      <w:r w:rsidRPr="00182BAD">
        <w:rPr>
          <w:color w:val="000000"/>
          <w:sz w:val="26"/>
          <w:szCs w:val="26"/>
        </w:rPr>
        <w:t xml:space="preserve"> </w:t>
      </w:r>
      <w:r w:rsidR="0086562B">
        <w:rPr>
          <w:color w:val="000000"/>
          <w:sz w:val="26"/>
          <w:szCs w:val="26"/>
        </w:rPr>
        <w:t>72</w:t>
      </w:r>
    </w:p>
    <w:sectPr w:rsidR="00ED60A8" w:rsidRPr="00182BAD" w:rsidSect="00182BA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566"/>
    <w:multiLevelType w:val="hybridMultilevel"/>
    <w:tmpl w:val="287C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6BB"/>
    <w:rsid w:val="00004D3F"/>
    <w:rsid w:val="0003488C"/>
    <w:rsid w:val="0003611C"/>
    <w:rsid w:val="0004004D"/>
    <w:rsid w:val="00054E35"/>
    <w:rsid w:val="00066B8F"/>
    <w:rsid w:val="00075976"/>
    <w:rsid w:val="00077493"/>
    <w:rsid w:val="000B5AE1"/>
    <w:rsid w:val="000C4D45"/>
    <w:rsid w:val="000D5E15"/>
    <w:rsid w:val="000E0A76"/>
    <w:rsid w:val="0010146B"/>
    <w:rsid w:val="00111D5A"/>
    <w:rsid w:val="00112ADC"/>
    <w:rsid w:val="001148CC"/>
    <w:rsid w:val="001220B8"/>
    <w:rsid w:val="00124011"/>
    <w:rsid w:val="00132883"/>
    <w:rsid w:val="00133066"/>
    <w:rsid w:val="0013499C"/>
    <w:rsid w:val="0014686F"/>
    <w:rsid w:val="0014719E"/>
    <w:rsid w:val="00157812"/>
    <w:rsid w:val="00162BE4"/>
    <w:rsid w:val="00166ECF"/>
    <w:rsid w:val="00175500"/>
    <w:rsid w:val="00182BAD"/>
    <w:rsid w:val="00191300"/>
    <w:rsid w:val="001A0843"/>
    <w:rsid w:val="001A606B"/>
    <w:rsid w:val="001B29B7"/>
    <w:rsid w:val="001C79AC"/>
    <w:rsid w:val="001D19DB"/>
    <w:rsid w:val="002026BB"/>
    <w:rsid w:val="00241DD6"/>
    <w:rsid w:val="002B1D14"/>
    <w:rsid w:val="002B6F5E"/>
    <w:rsid w:val="002C1918"/>
    <w:rsid w:val="00315C9A"/>
    <w:rsid w:val="00320BE3"/>
    <w:rsid w:val="003463BF"/>
    <w:rsid w:val="00371D68"/>
    <w:rsid w:val="003A0095"/>
    <w:rsid w:val="003C6527"/>
    <w:rsid w:val="003C6AC4"/>
    <w:rsid w:val="00407D53"/>
    <w:rsid w:val="00430091"/>
    <w:rsid w:val="00432553"/>
    <w:rsid w:val="004348CB"/>
    <w:rsid w:val="004353FD"/>
    <w:rsid w:val="004405C1"/>
    <w:rsid w:val="00444AE2"/>
    <w:rsid w:val="004A473F"/>
    <w:rsid w:val="004B07F7"/>
    <w:rsid w:val="004B0A0B"/>
    <w:rsid w:val="004E0D12"/>
    <w:rsid w:val="004F7159"/>
    <w:rsid w:val="00507DFC"/>
    <w:rsid w:val="00522AEE"/>
    <w:rsid w:val="00526235"/>
    <w:rsid w:val="00533054"/>
    <w:rsid w:val="00550ED5"/>
    <w:rsid w:val="0055613D"/>
    <w:rsid w:val="00557264"/>
    <w:rsid w:val="005A2B8B"/>
    <w:rsid w:val="005A627C"/>
    <w:rsid w:val="005B3BDD"/>
    <w:rsid w:val="005B6858"/>
    <w:rsid w:val="005C0C86"/>
    <w:rsid w:val="005C4353"/>
    <w:rsid w:val="005E63DB"/>
    <w:rsid w:val="0060018C"/>
    <w:rsid w:val="00603A5A"/>
    <w:rsid w:val="00603EA8"/>
    <w:rsid w:val="00605051"/>
    <w:rsid w:val="00611019"/>
    <w:rsid w:val="0063494D"/>
    <w:rsid w:val="006876CD"/>
    <w:rsid w:val="00697033"/>
    <w:rsid w:val="006C1B2F"/>
    <w:rsid w:val="006E3AED"/>
    <w:rsid w:val="007304E8"/>
    <w:rsid w:val="00736F94"/>
    <w:rsid w:val="007449B0"/>
    <w:rsid w:val="00774E72"/>
    <w:rsid w:val="00790F17"/>
    <w:rsid w:val="0079264B"/>
    <w:rsid w:val="007A423F"/>
    <w:rsid w:val="007B1A9D"/>
    <w:rsid w:val="007E1B20"/>
    <w:rsid w:val="007E3345"/>
    <w:rsid w:val="007F5AC5"/>
    <w:rsid w:val="007F787B"/>
    <w:rsid w:val="008236DF"/>
    <w:rsid w:val="00834265"/>
    <w:rsid w:val="00841AAB"/>
    <w:rsid w:val="0085449D"/>
    <w:rsid w:val="00854622"/>
    <w:rsid w:val="00862806"/>
    <w:rsid w:val="0086562B"/>
    <w:rsid w:val="00875118"/>
    <w:rsid w:val="008D773E"/>
    <w:rsid w:val="008D79BC"/>
    <w:rsid w:val="008E3E9C"/>
    <w:rsid w:val="008F30D3"/>
    <w:rsid w:val="008F47A2"/>
    <w:rsid w:val="00900F71"/>
    <w:rsid w:val="0091414E"/>
    <w:rsid w:val="00946F91"/>
    <w:rsid w:val="009612F3"/>
    <w:rsid w:val="00971483"/>
    <w:rsid w:val="00992334"/>
    <w:rsid w:val="009923CD"/>
    <w:rsid w:val="009B468D"/>
    <w:rsid w:val="009C15A4"/>
    <w:rsid w:val="009C46CC"/>
    <w:rsid w:val="009D5732"/>
    <w:rsid w:val="009E2A71"/>
    <w:rsid w:val="00A011CC"/>
    <w:rsid w:val="00A05A5C"/>
    <w:rsid w:val="00A178BB"/>
    <w:rsid w:val="00A41BD8"/>
    <w:rsid w:val="00A75253"/>
    <w:rsid w:val="00AA4146"/>
    <w:rsid w:val="00AC4E8B"/>
    <w:rsid w:val="00AD5EFC"/>
    <w:rsid w:val="00AD6682"/>
    <w:rsid w:val="00AD6AB2"/>
    <w:rsid w:val="00AE1630"/>
    <w:rsid w:val="00AF6528"/>
    <w:rsid w:val="00B0747E"/>
    <w:rsid w:val="00B1315D"/>
    <w:rsid w:val="00B163F3"/>
    <w:rsid w:val="00B26BB0"/>
    <w:rsid w:val="00B61421"/>
    <w:rsid w:val="00B62EE5"/>
    <w:rsid w:val="00B73785"/>
    <w:rsid w:val="00B767C1"/>
    <w:rsid w:val="00B809F5"/>
    <w:rsid w:val="00B80B2B"/>
    <w:rsid w:val="00BB4E29"/>
    <w:rsid w:val="00BC2F1F"/>
    <w:rsid w:val="00BF03E8"/>
    <w:rsid w:val="00BF4089"/>
    <w:rsid w:val="00BF54D6"/>
    <w:rsid w:val="00C07B0F"/>
    <w:rsid w:val="00C16283"/>
    <w:rsid w:val="00C21E52"/>
    <w:rsid w:val="00C350E4"/>
    <w:rsid w:val="00C70F30"/>
    <w:rsid w:val="00C77B04"/>
    <w:rsid w:val="00C92992"/>
    <w:rsid w:val="00C932FD"/>
    <w:rsid w:val="00D01E8A"/>
    <w:rsid w:val="00D212FF"/>
    <w:rsid w:val="00D86892"/>
    <w:rsid w:val="00D95854"/>
    <w:rsid w:val="00DA5D4D"/>
    <w:rsid w:val="00DF79A5"/>
    <w:rsid w:val="00E06C0A"/>
    <w:rsid w:val="00E736CA"/>
    <w:rsid w:val="00EA4CD6"/>
    <w:rsid w:val="00EB1D9E"/>
    <w:rsid w:val="00EB2210"/>
    <w:rsid w:val="00ED60A8"/>
    <w:rsid w:val="00EF57C1"/>
    <w:rsid w:val="00F17889"/>
    <w:rsid w:val="00F25B78"/>
    <w:rsid w:val="00F25F08"/>
    <w:rsid w:val="00F27CFF"/>
    <w:rsid w:val="00F36059"/>
    <w:rsid w:val="00F44460"/>
    <w:rsid w:val="00F61F18"/>
    <w:rsid w:val="00F70BF0"/>
    <w:rsid w:val="00F748F4"/>
    <w:rsid w:val="00F95E2B"/>
    <w:rsid w:val="00FA00A4"/>
    <w:rsid w:val="00FA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1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AA4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353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53FD"/>
    <w:rPr>
      <w:rFonts w:ascii="Segoe U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2C1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C1918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C4E8B"/>
    <w:rPr>
      <w:sz w:val="28"/>
      <w:szCs w:val="20"/>
    </w:rPr>
  </w:style>
  <w:style w:type="paragraph" w:customStyle="1" w:styleId="211">
    <w:name w:val="Основной текст 211"/>
    <w:basedOn w:val="a"/>
    <w:uiPriority w:val="99"/>
    <w:rsid w:val="00603A5A"/>
    <w:rPr>
      <w:sz w:val="28"/>
      <w:szCs w:val="20"/>
    </w:rPr>
  </w:style>
  <w:style w:type="paragraph" w:customStyle="1" w:styleId="ConsPlusNormal">
    <w:name w:val="ConsPlusNormal"/>
    <w:uiPriority w:val="99"/>
    <w:rsid w:val="00603A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141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rsid w:val="00B163F3"/>
    <w:rPr>
      <w:rFonts w:cs="Times New Roman"/>
      <w:color w:val="0563C1"/>
      <w:u w:val="single"/>
    </w:rPr>
  </w:style>
  <w:style w:type="character" w:styleId="a7">
    <w:name w:val="Strong"/>
    <w:uiPriority w:val="22"/>
    <w:qFormat/>
    <w:locked/>
    <w:rsid w:val="00B73785"/>
    <w:rPr>
      <w:b/>
      <w:bCs/>
    </w:rPr>
  </w:style>
  <w:style w:type="paragraph" w:styleId="a8">
    <w:name w:val="Normal (Web)"/>
    <w:basedOn w:val="a"/>
    <w:uiPriority w:val="99"/>
    <w:rsid w:val="00B73785"/>
    <w:pPr>
      <w:spacing w:before="100" w:after="100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Зеленина Татьяна Васильевна</dc:creator>
  <cp:keywords/>
  <dc:description/>
  <cp:lastModifiedBy>Dubinskaya-LF</cp:lastModifiedBy>
  <cp:revision>176</cp:revision>
  <cp:lastPrinted>2019-03-29T03:12:00Z</cp:lastPrinted>
  <dcterms:created xsi:type="dcterms:W3CDTF">2017-11-23T08:55:00Z</dcterms:created>
  <dcterms:modified xsi:type="dcterms:W3CDTF">2019-04-10T10:48:00Z</dcterms:modified>
</cp:coreProperties>
</file>