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r w:rsidRPr="00CF54BC">
        <w:rPr>
          <w:noProof/>
          <w:lang w:eastAsia="ru-RU"/>
        </w:rPr>
        <w:drawing>
          <wp:inline distT="0" distB="0" distL="0" distR="0">
            <wp:extent cx="661433" cy="8690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515" cy="869109"/>
                    </a:xfrm>
                    <a:prstGeom prst="rect">
                      <a:avLst/>
                    </a:prstGeom>
                    <a:noFill/>
                    <a:ln w="9525">
                      <a:noFill/>
                      <a:miter lim="800000"/>
                      <a:headEnd/>
                      <a:tailEnd/>
                    </a:ln>
                  </pic:spPr>
                </pic:pic>
              </a:graphicData>
            </a:graphic>
          </wp:inline>
        </w:drawing>
      </w:r>
    </w:p>
    <w:p w:rsidR="00265A6F"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Аппарат Антитеррористической комиссии</w:t>
      </w:r>
    </w:p>
    <w:p w:rsidR="00C06768"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Ханты-Мансийского автономного округа</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6176D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w:t>
      </w:r>
      <w:r w:rsidR="00A944C9">
        <w:rPr>
          <w:rFonts w:ascii="Times New Roman" w:hAnsi="Times New Roman" w:cs="Times New Roman"/>
          <w:b/>
          <w:sz w:val="32"/>
          <w:szCs w:val="32"/>
        </w:rPr>
        <w:t>уководителям</w:t>
      </w:r>
      <w:r>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sidR="00A944C9">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F64A6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по вопросам</w:t>
      </w:r>
      <w:r w:rsidR="00C06768" w:rsidRPr="00CF54BC">
        <w:rPr>
          <w:rFonts w:ascii="Times New Roman" w:hAnsi="Times New Roman" w:cs="Times New Roman"/>
          <w:b/>
          <w:sz w:val="32"/>
          <w:szCs w:val="32"/>
        </w:rPr>
        <w:t xml:space="preserve"> противодействи</w:t>
      </w:r>
      <w:r w:rsidRPr="00CF54BC">
        <w:rPr>
          <w:rFonts w:ascii="Times New Roman" w:hAnsi="Times New Roman" w:cs="Times New Roman"/>
          <w:b/>
          <w:sz w:val="32"/>
          <w:szCs w:val="32"/>
        </w:rPr>
        <w:t>я</w:t>
      </w:r>
      <w:r w:rsidR="00C06768"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sidRPr="00CF54BC">
        <w:rPr>
          <w:rFonts w:ascii="Times New Roman" w:hAnsi="Times New Roman" w:cs="Times New Roman"/>
          <w:b/>
          <w:spacing w:val="22"/>
          <w:sz w:val="28"/>
          <w:szCs w:val="28"/>
        </w:rPr>
        <w:t>г. Ханты-Мансийск</w:t>
      </w:r>
    </w:p>
    <w:p w:rsidR="006852CB" w:rsidRPr="00CF54BC" w:rsidRDefault="006852CB"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sidRPr="00CF54BC">
        <w:rPr>
          <w:rFonts w:ascii="Times New Roman" w:hAnsi="Times New Roman" w:cs="Times New Roman"/>
          <w:b/>
          <w:spacing w:val="22"/>
          <w:sz w:val="28"/>
          <w:szCs w:val="28"/>
        </w:rPr>
        <w:t>2016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Настоящие Методические рекомендации разработаны в соответствии с рекомендациями </w:t>
      </w:r>
      <w:r w:rsidR="0008594D" w:rsidRPr="00CF54BC">
        <w:rPr>
          <w:rFonts w:ascii="Times New Roman" w:hAnsi="Times New Roman" w:cs="Times New Roman"/>
          <w:sz w:val="28"/>
          <w:szCs w:val="28"/>
        </w:rPr>
        <w:t xml:space="preserve">Оперативного </w:t>
      </w:r>
      <w:r w:rsidR="003C0DF9" w:rsidRPr="00CF54BC">
        <w:rPr>
          <w:rFonts w:ascii="Times New Roman" w:hAnsi="Times New Roman" w:cs="Times New Roman"/>
          <w:sz w:val="28"/>
          <w:szCs w:val="28"/>
        </w:rPr>
        <w:t>ш</w:t>
      </w:r>
      <w:r w:rsidR="0008594D" w:rsidRPr="00CF54BC">
        <w:rPr>
          <w:rFonts w:ascii="Times New Roman" w:hAnsi="Times New Roman" w:cs="Times New Roman"/>
          <w:sz w:val="28"/>
          <w:szCs w:val="28"/>
        </w:rPr>
        <w:t xml:space="preserve">таба </w:t>
      </w:r>
      <w:r w:rsidR="003C0DF9" w:rsidRPr="00CF54BC">
        <w:rPr>
          <w:rFonts w:ascii="Times New Roman" w:hAnsi="Times New Roman" w:cs="Times New Roman"/>
          <w:sz w:val="28"/>
          <w:szCs w:val="28"/>
        </w:rPr>
        <w:t xml:space="preserve">в </w:t>
      </w:r>
      <w:r w:rsidR="0008594D" w:rsidRPr="00CF54BC">
        <w:rPr>
          <w:rFonts w:ascii="Times New Roman" w:hAnsi="Times New Roman" w:cs="Times New Roman"/>
          <w:sz w:val="28"/>
          <w:szCs w:val="28"/>
        </w:rPr>
        <w:t>Ханты-Мансийско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автономно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округ</w:t>
      </w:r>
      <w:r w:rsidR="003C0DF9" w:rsidRPr="00CF54BC">
        <w:rPr>
          <w:rFonts w:ascii="Times New Roman" w:hAnsi="Times New Roman" w:cs="Times New Roman"/>
          <w:sz w:val="28"/>
          <w:szCs w:val="28"/>
        </w:rPr>
        <w:t>е</w:t>
      </w:r>
      <w:r w:rsidR="00CF54BC" w:rsidRPr="00CF54BC">
        <w:rPr>
          <w:rFonts w:ascii="Times New Roman" w:hAnsi="Times New Roman" w:cs="Times New Roman"/>
          <w:sz w:val="28"/>
          <w:szCs w:val="28"/>
        </w:rPr>
        <w:t xml:space="preserve"> – Югре.</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утверждены совместн</w:t>
      </w:r>
      <w:r w:rsidR="003C0DF9" w:rsidRPr="00CF54BC">
        <w:rPr>
          <w:rFonts w:ascii="Times New Roman" w:hAnsi="Times New Roman" w:cs="Times New Roman"/>
          <w:sz w:val="28"/>
          <w:szCs w:val="28"/>
        </w:rPr>
        <w:t>ы</w:t>
      </w:r>
      <w:r w:rsidRPr="00CF54BC">
        <w:rPr>
          <w:rFonts w:ascii="Times New Roman" w:hAnsi="Times New Roman" w:cs="Times New Roman"/>
          <w:sz w:val="28"/>
          <w:szCs w:val="28"/>
        </w:rPr>
        <w:t xml:space="preserve">м </w:t>
      </w:r>
      <w:r w:rsidR="003C0DF9" w:rsidRPr="00CF54BC">
        <w:rPr>
          <w:rFonts w:ascii="Times New Roman" w:hAnsi="Times New Roman" w:cs="Times New Roman"/>
          <w:sz w:val="28"/>
          <w:szCs w:val="28"/>
        </w:rPr>
        <w:t>решением</w:t>
      </w:r>
      <w:r w:rsidRPr="00CF54BC">
        <w:rPr>
          <w:rFonts w:ascii="Times New Roman" w:hAnsi="Times New Roman" w:cs="Times New Roman"/>
          <w:sz w:val="28"/>
          <w:szCs w:val="28"/>
        </w:rPr>
        <w:t xml:space="preserve"> Антитеррористической комиссии и Оперативного штаба в </w:t>
      </w:r>
      <w:r w:rsidR="00CF54BC" w:rsidRPr="00CF54BC">
        <w:rPr>
          <w:rFonts w:ascii="Times New Roman" w:hAnsi="Times New Roman" w:cs="Times New Roman"/>
          <w:sz w:val="28"/>
          <w:szCs w:val="28"/>
        </w:rPr>
        <w:t>Ханты-Мансийском автономном округе – Югре</w:t>
      </w:r>
      <w:r w:rsidRPr="00CF54BC">
        <w:rPr>
          <w:rFonts w:ascii="Times New Roman" w:hAnsi="Times New Roman" w:cs="Times New Roman"/>
          <w:i/>
          <w:sz w:val="28"/>
          <w:szCs w:val="28"/>
        </w:rPr>
        <w:t xml:space="preserve">(протокол от </w:t>
      </w:r>
      <w:r w:rsidR="003C0DF9" w:rsidRPr="00CF54BC">
        <w:rPr>
          <w:rFonts w:ascii="Times New Roman" w:hAnsi="Times New Roman" w:cs="Times New Roman"/>
          <w:i/>
          <w:sz w:val="28"/>
          <w:szCs w:val="28"/>
        </w:rPr>
        <w:t>26.07.</w:t>
      </w:r>
      <w:r w:rsidRPr="00CF54BC">
        <w:rPr>
          <w:rFonts w:ascii="Times New Roman" w:hAnsi="Times New Roman" w:cs="Times New Roman"/>
          <w:i/>
          <w:sz w:val="28"/>
          <w:szCs w:val="28"/>
        </w:rPr>
        <w:t>20</w:t>
      </w:r>
      <w:r w:rsidR="003C0DF9" w:rsidRPr="00CF54BC">
        <w:rPr>
          <w:rFonts w:ascii="Times New Roman" w:hAnsi="Times New Roman" w:cs="Times New Roman"/>
          <w:i/>
          <w:sz w:val="28"/>
          <w:szCs w:val="28"/>
        </w:rPr>
        <w:t>16</w:t>
      </w:r>
      <w:r w:rsidR="00CF54BC" w:rsidRPr="00CF54BC">
        <w:rPr>
          <w:rFonts w:ascii="Times New Roman" w:hAnsi="Times New Roman" w:cs="Times New Roman"/>
          <w:i/>
          <w:sz w:val="28"/>
          <w:szCs w:val="28"/>
        </w:rPr>
        <w:t xml:space="preserve"> года № 73/50 </w:t>
      </w:r>
      <w:r w:rsidR="003C0DF9" w:rsidRPr="00CF54BC">
        <w:rPr>
          <w:rFonts w:ascii="Times New Roman" w:hAnsi="Times New Roman" w:cs="Times New Roman"/>
          <w:i/>
          <w:sz w:val="28"/>
          <w:szCs w:val="28"/>
        </w:rPr>
        <w:t>дсп</w:t>
      </w:r>
      <w:r w:rsidRPr="00CF54BC">
        <w:rPr>
          <w:rFonts w:ascii="Times New Roman" w:hAnsi="Times New Roman" w:cs="Times New Roman"/>
          <w:i/>
          <w:sz w:val="28"/>
          <w:szCs w:val="28"/>
        </w:rPr>
        <w:t>)</w:t>
      </w:r>
      <w:r w:rsidRPr="00CF54BC">
        <w:rPr>
          <w:rFonts w:ascii="Times New Roman" w:hAnsi="Times New Roman" w:cs="Times New Roman"/>
          <w:sz w:val="28"/>
          <w:szCs w:val="28"/>
        </w:rPr>
        <w:t>.</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Являются вспомогательным </w:t>
      </w:r>
      <w:r w:rsidR="00F07E6C" w:rsidRPr="00CF54BC">
        <w:rPr>
          <w:rFonts w:ascii="Times New Roman" w:hAnsi="Times New Roman" w:cs="Times New Roman"/>
          <w:sz w:val="28"/>
          <w:szCs w:val="28"/>
        </w:rPr>
        <w:t>источник</w:t>
      </w:r>
      <w:r w:rsidRPr="00CF54BC">
        <w:rPr>
          <w:rFonts w:ascii="Times New Roman" w:hAnsi="Times New Roman" w:cs="Times New Roman"/>
          <w:sz w:val="28"/>
          <w:szCs w:val="28"/>
        </w:rPr>
        <w:t xml:space="preserve">ом по </w:t>
      </w:r>
      <w:r w:rsidR="0008594D" w:rsidRPr="00CF54BC">
        <w:rPr>
          <w:rFonts w:ascii="Times New Roman" w:hAnsi="Times New Roman" w:cs="Times New Roman"/>
          <w:sz w:val="28"/>
          <w:szCs w:val="28"/>
        </w:rPr>
        <w:t>противодействи</w:t>
      </w:r>
      <w:r w:rsidR="00614C91" w:rsidRPr="00CF54BC">
        <w:rPr>
          <w:rFonts w:ascii="Times New Roman" w:hAnsi="Times New Roman" w:cs="Times New Roman"/>
          <w:sz w:val="28"/>
          <w:szCs w:val="28"/>
        </w:rPr>
        <w:t>ю</w:t>
      </w:r>
      <w:r w:rsidR="00474DC6" w:rsidRPr="00CF54BC">
        <w:rPr>
          <w:rFonts w:ascii="Times New Roman" w:hAnsi="Times New Roman" w:cs="Times New Roman"/>
          <w:sz w:val="28"/>
          <w:szCs w:val="28"/>
        </w:rPr>
        <w:t xml:space="preserve">распространению </w:t>
      </w:r>
      <w:r w:rsidR="0008594D" w:rsidRPr="00CF54BC">
        <w:rPr>
          <w:rFonts w:ascii="Times New Roman" w:hAnsi="Times New Roman" w:cs="Times New Roman"/>
          <w:sz w:val="28"/>
          <w:szCs w:val="28"/>
        </w:rPr>
        <w:t xml:space="preserve">идеологии терроризма и вербовочной активности радикальных исламистских организаций в </w:t>
      </w:r>
      <w:r w:rsidR="00614C91" w:rsidRPr="00CF54BC">
        <w:rPr>
          <w:rFonts w:ascii="Times New Roman" w:hAnsi="Times New Roman" w:cs="Times New Roman"/>
          <w:sz w:val="28"/>
          <w:szCs w:val="28"/>
        </w:rPr>
        <w:t>образовательной сфере и молодёж</w:t>
      </w:r>
      <w:r w:rsidR="0008594D" w:rsidRPr="00CF54BC">
        <w:rPr>
          <w:rFonts w:ascii="Times New Roman" w:hAnsi="Times New Roman" w:cs="Times New Roman"/>
          <w:sz w:val="28"/>
          <w:szCs w:val="28"/>
        </w:rPr>
        <w:t>ной среде</w:t>
      </w:r>
      <w:r w:rsidRPr="00CF54BC">
        <w:rPr>
          <w:rFonts w:ascii="Times New Roman" w:hAnsi="Times New Roman" w:cs="Times New Roman"/>
          <w:sz w:val="28"/>
          <w:szCs w:val="28"/>
        </w:rPr>
        <w:t>.</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right"/>
        <w:rPr>
          <w:rFonts w:ascii="Times New Roman" w:hAnsi="Times New Roman" w:cs="Times New Roman"/>
          <w:sz w:val="28"/>
          <w:szCs w:val="28"/>
        </w:rPr>
      </w:pPr>
      <w:r w:rsidRPr="00CF54BC">
        <w:rPr>
          <w:rFonts w:ascii="Times New Roman" w:hAnsi="Times New Roman" w:cs="Times New Roman"/>
          <w:i/>
          <w:sz w:val="28"/>
          <w:szCs w:val="28"/>
        </w:rPr>
        <w:t>Аппарат АТК автономного округа</w:t>
      </w:r>
    </w:p>
    <w:p w:rsidR="004A658A" w:rsidRPr="00CF54BC" w:rsidRDefault="004A658A" w:rsidP="00BD58C7">
      <w:pPr>
        <w:spacing w:line="240" w:lineRule="auto"/>
        <w:jc w:val="center"/>
        <w:rPr>
          <w:b/>
          <w:sz w:val="24"/>
          <w:szCs w:val="24"/>
        </w:rPr>
      </w:pPr>
    </w:p>
    <w:p w:rsidR="004A658A" w:rsidRPr="00CF54BC" w:rsidRDefault="004A658A" w:rsidP="004A658A">
      <w:pPr>
        <w:jc w:val="center"/>
        <w:rPr>
          <w:b/>
          <w:sz w:val="24"/>
          <w:szCs w:val="24"/>
        </w:rPr>
      </w:pPr>
      <w:r w:rsidRPr="00CF54BC">
        <w:rPr>
          <w:b/>
          <w:sz w:val="24"/>
          <w:szCs w:val="24"/>
        </w:rPr>
        <w:br w:type="page"/>
      </w: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D127D4">
          <w:pPr>
            <w:pStyle w:val="11"/>
            <w:tabs>
              <w:tab w:val="left" w:pos="440"/>
              <w:tab w:val="right" w:leader="dot" w:pos="9628"/>
            </w:tabs>
            <w:rPr>
              <w:rFonts w:ascii="Times New Roman" w:eastAsiaTheme="minorEastAsia" w:hAnsi="Times New Roman" w:cs="Times New Roman"/>
              <w:noProof/>
              <w:sz w:val="24"/>
              <w:lang w:eastAsia="ru-RU"/>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Pr="00EF1A80">
              <w:rPr>
                <w:rFonts w:ascii="Times New Roman" w:hAnsi="Times New Roman" w:cs="Times New Roman"/>
                <w:noProof/>
                <w:webHidden/>
                <w:sz w:val="24"/>
              </w:rPr>
              <w:fldChar w:fldCharType="end"/>
            </w:r>
          </w:hyperlink>
        </w:p>
        <w:p w:rsidR="00474DC6" w:rsidRPr="00EF1A80" w:rsidRDefault="00D127D4">
          <w:pPr>
            <w:pStyle w:val="11"/>
            <w:tabs>
              <w:tab w:val="left" w:pos="440"/>
              <w:tab w:val="right" w:leader="dot" w:pos="9628"/>
            </w:tabs>
            <w:rPr>
              <w:rFonts w:ascii="Times New Roman" w:eastAsiaTheme="minorEastAsia" w:hAnsi="Times New Roman" w:cs="Times New Roman"/>
              <w:noProof/>
              <w:sz w:val="24"/>
              <w:lang w:eastAsia="ru-RU"/>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Pr="00EF1A80">
              <w:rPr>
                <w:rFonts w:ascii="Times New Roman" w:hAnsi="Times New Roman" w:cs="Times New Roman"/>
                <w:noProof/>
                <w:webHidden/>
                <w:sz w:val="24"/>
              </w:rPr>
              <w:fldChar w:fldCharType="end"/>
            </w:r>
          </w:hyperlink>
        </w:p>
        <w:p w:rsidR="00474DC6" w:rsidRPr="00EF1A80" w:rsidRDefault="00D127D4">
          <w:pPr>
            <w:pStyle w:val="11"/>
            <w:tabs>
              <w:tab w:val="left" w:pos="440"/>
              <w:tab w:val="right" w:leader="dot" w:pos="9628"/>
            </w:tabs>
            <w:rPr>
              <w:rFonts w:ascii="Times New Roman" w:eastAsiaTheme="minorEastAsia" w:hAnsi="Times New Roman" w:cs="Times New Roman"/>
              <w:noProof/>
              <w:sz w:val="24"/>
              <w:lang w:eastAsia="ru-RU"/>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Pr="00EF1A80">
              <w:rPr>
                <w:rFonts w:ascii="Times New Roman" w:hAnsi="Times New Roman" w:cs="Times New Roman"/>
                <w:noProof/>
                <w:webHidden/>
                <w:sz w:val="24"/>
              </w:rPr>
              <w:fldChar w:fldCharType="end"/>
            </w:r>
          </w:hyperlink>
        </w:p>
        <w:p w:rsidR="00474DC6" w:rsidRPr="00EF1A80" w:rsidRDefault="00D127D4">
          <w:pPr>
            <w:pStyle w:val="11"/>
            <w:tabs>
              <w:tab w:val="left" w:pos="440"/>
              <w:tab w:val="right" w:leader="dot" w:pos="9628"/>
            </w:tabs>
            <w:rPr>
              <w:rFonts w:ascii="Times New Roman" w:eastAsiaTheme="minorEastAsia" w:hAnsi="Times New Roman" w:cs="Times New Roman"/>
              <w:noProof/>
              <w:sz w:val="24"/>
              <w:lang w:eastAsia="ru-RU"/>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Pr="00EF1A80">
              <w:rPr>
                <w:rFonts w:ascii="Times New Roman" w:hAnsi="Times New Roman" w:cs="Times New Roman"/>
                <w:noProof/>
                <w:webHidden/>
                <w:sz w:val="24"/>
              </w:rPr>
              <w:fldChar w:fldCharType="end"/>
            </w:r>
          </w:hyperlink>
        </w:p>
        <w:p w:rsidR="00474DC6" w:rsidRPr="00EF1A80" w:rsidRDefault="00D127D4">
          <w:pPr>
            <w:pStyle w:val="11"/>
            <w:tabs>
              <w:tab w:val="left" w:pos="440"/>
              <w:tab w:val="right" w:leader="dot" w:pos="9628"/>
            </w:tabs>
            <w:rPr>
              <w:rFonts w:ascii="Times New Roman" w:eastAsiaTheme="minorEastAsia" w:hAnsi="Times New Roman" w:cs="Times New Roman"/>
              <w:noProof/>
              <w:sz w:val="24"/>
              <w:lang w:eastAsia="ru-RU"/>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Pr="00EF1A80">
              <w:rPr>
                <w:rFonts w:ascii="Times New Roman" w:hAnsi="Times New Roman" w:cs="Times New Roman"/>
                <w:noProof/>
                <w:webHidden/>
                <w:sz w:val="24"/>
              </w:rPr>
              <w:fldChar w:fldCharType="end"/>
            </w:r>
          </w:hyperlink>
        </w:p>
        <w:p w:rsidR="00474DC6" w:rsidRPr="00EF1A80" w:rsidRDefault="00D127D4">
          <w:pPr>
            <w:pStyle w:val="21"/>
            <w:tabs>
              <w:tab w:val="right" w:leader="dot" w:pos="9628"/>
            </w:tabs>
            <w:rPr>
              <w:rFonts w:ascii="Times New Roman" w:eastAsiaTheme="minorEastAsia" w:hAnsi="Times New Roman" w:cs="Times New Roman"/>
              <w:noProof/>
              <w:sz w:val="24"/>
              <w:lang w:eastAsia="ru-RU"/>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Pr="00EF1A80">
              <w:rPr>
                <w:rFonts w:ascii="Times New Roman" w:hAnsi="Times New Roman" w:cs="Times New Roman"/>
                <w:noProof/>
                <w:webHidden/>
                <w:sz w:val="24"/>
              </w:rPr>
              <w:fldChar w:fldCharType="end"/>
            </w:r>
          </w:hyperlink>
        </w:p>
        <w:p w:rsidR="00474DC6" w:rsidRPr="00EF1A80" w:rsidRDefault="00D127D4">
          <w:pPr>
            <w:pStyle w:val="31"/>
            <w:tabs>
              <w:tab w:val="right" w:leader="dot" w:pos="9628"/>
            </w:tabs>
            <w:rPr>
              <w:rFonts w:ascii="Times New Roman" w:eastAsiaTheme="minorEastAsia" w:hAnsi="Times New Roman" w:cs="Times New Roman"/>
              <w:noProof/>
              <w:sz w:val="24"/>
              <w:lang w:eastAsia="ru-RU"/>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Pr="00EF1A80">
              <w:rPr>
                <w:rFonts w:ascii="Times New Roman" w:hAnsi="Times New Roman" w:cs="Times New Roman"/>
                <w:noProof/>
                <w:webHidden/>
                <w:sz w:val="24"/>
              </w:rPr>
              <w:fldChar w:fldCharType="end"/>
            </w:r>
          </w:hyperlink>
        </w:p>
        <w:p w:rsidR="00474DC6" w:rsidRPr="00EF1A80" w:rsidRDefault="00D127D4">
          <w:pPr>
            <w:pStyle w:val="11"/>
            <w:tabs>
              <w:tab w:val="right" w:leader="dot" w:pos="9628"/>
            </w:tabs>
            <w:rPr>
              <w:rFonts w:ascii="Times New Roman" w:eastAsiaTheme="minorEastAsia" w:hAnsi="Times New Roman" w:cs="Times New Roman"/>
              <w:noProof/>
              <w:sz w:val="24"/>
              <w:lang w:eastAsia="ru-RU"/>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Pr="00EF1A80">
              <w:rPr>
                <w:rFonts w:ascii="Times New Roman" w:hAnsi="Times New Roman" w:cs="Times New Roman"/>
                <w:noProof/>
                <w:webHidden/>
                <w:sz w:val="24"/>
              </w:rPr>
              <w:fldChar w:fldCharType="end"/>
            </w:r>
          </w:hyperlink>
        </w:p>
        <w:p w:rsidR="00265A6F" w:rsidRPr="00CF54BC" w:rsidRDefault="00D127D4"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0" w:name="_Toc455056683"/>
      <w:r w:rsidRPr="00CF54BC">
        <w:rPr>
          <w:rFonts w:ascii="Times New Roman" w:hAnsi="Times New Roman" w:cs="Times New Roman"/>
          <w:color w:val="auto"/>
        </w:rPr>
        <w:lastRenderedPageBreak/>
        <w:t>ОБЩЕСТВО РОССИИ И ТЕРРОРИЗМ. ИСТОРИЧЕСКИЙ ОПЫТ</w:t>
      </w:r>
      <w:bookmarkEnd w:id="0"/>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1" w:name="_Toc455056684"/>
      <w:r w:rsidRPr="00CF54BC">
        <w:rPr>
          <w:rFonts w:ascii="Times New Roman" w:hAnsi="Times New Roman" w:cs="Times New Roman"/>
          <w:color w:val="auto"/>
          <w:sz w:val="28"/>
          <w:szCs w:val="28"/>
        </w:rPr>
        <w:t>Технологии влияния.</w:t>
      </w:r>
      <w:bookmarkEnd w:id="1"/>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 xml:space="preserve">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w:t>
      </w:r>
      <w:r w:rsidR="00915521" w:rsidRPr="00CF54BC">
        <w:rPr>
          <w:rFonts w:ascii="Times New Roman" w:hAnsi="Times New Roman" w:cs="Times New Roman"/>
          <w:sz w:val="28"/>
          <w:szCs w:val="28"/>
        </w:rPr>
        <w:lastRenderedPageBreak/>
        <w:t>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2" w:name="_Toc455056685"/>
      <w:r w:rsidRPr="00CF54BC">
        <w:rPr>
          <w:rFonts w:ascii="Times New Roman" w:hAnsi="Times New Roman" w:cs="Times New Roman"/>
          <w:color w:val="auto"/>
          <w:sz w:val="28"/>
          <w:szCs w:val="28"/>
        </w:rPr>
        <w:t>Литература</w:t>
      </w:r>
      <w:bookmarkEnd w:id="2"/>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3" w:name="_Toc455056686"/>
      <w:r w:rsidRPr="00CF54BC">
        <w:rPr>
          <w:rFonts w:ascii="Times New Roman" w:hAnsi="Times New Roman" w:cs="Times New Roman"/>
          <w:color w:val="auto"/>
          <w:sz w:val="28"/>
          <w:szCs w:val="28"/>
        </w:rPr>
        <w:t>Религиозность</w:t>
      </w:r>
      <w:bookmarkEnd w:id="3"/>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w:t>
      </w:r>
      <w:r w:rsidRPr="00CF54BC">
        <w:rPr>
          <w:rFonts w:ascii="Times New Roman" w:hAnsi="Times New Roman" w:cs="Times New Roman"/>
          <w:sz w:val="28"/>
          <w:szCs w:val="28"/>
        </w:rPr>
        <w:lastRenderedPageBreak/>
        <w:t xml:space="preserve">Террористические организации активно используют религиозную почву в 1-ую 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4" w:name="_Toc455056687"/>
      <w:r w:rsidRPr="00CF54BC">
        <w:rPr>
          <w:rFonts w:ascii="Times New Roman" w:hAnsi="Times New Roman" w:cs="Times New Roman"/>
          <w:color w:val="auto"/>
          <w:sz w:val="28"/>
          <w:szCs w:val="28"/>
        </w:rPr>
        <w:t>Финансы</w:t>
      </w:r>
      <w:bookmarkEnd w:id="4"/>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5"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5"/>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w:t>
      </w:r>
      <w:r w:rsidR="00BF76AC" w:rsidRPr="00CF54BC">
        <w:rPr>
          <w:rFonts w:ascii="Times New Roman" w:hAnsi="Times New Roman" w:cs="Times New Roman"/>
          <w:sz w:val="28"/>
          <w:szCs w:val="28"/>
        </w:rPr>
        <w:lastRenderedPageBreak/>
        <w:t xml:space="preserve">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6"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6"/>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7" w:name="_Toc455056690"/>
      <w:r w:rsidRPr="00CF54BC">
        <w:rPr>
          <w:rFonts w:ascii="Times New Roman" w:hAnsi="Times New Roman" w:cs="Times New Roman"/>
          <w:color w:val="auto"/>
          <w:sz w:val="28"/>
          <w:szCs w:val="28"/>
        </w:rPr>
        <w:t>Терроризм идеология терроризма</w:t>
      </w:r>
      <w:bookmarkEnd w:id="7"/>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2"/>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w:t>
      </w:r>
      <w:r w:rsidRPr="00CF54BC">
        <w:rPr>
          <w:rFonts w:ascii="Times New Roman" w:hAnsi="Times New Roman" w:cs="Times New Roman"/>
          <w:sz w:val="28"/>
          <w:szCs w:val="28"/>
        </w:rPr>
        <w:lastRenderedPageBreak/>
        <w:t>Президента Российской Федерации главным координатором деятельности по 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8" w:name="_Toc455056691"/>
      <w:r w:rsidRPr="00CF54BC">
        <w:rPr>
          <w:rFonts w:ascii="Times New Roman" w:hAnsi="Times New Roman" w:cs="Times New Roman"/>
          <w:color w:val="auto"/>
          <w:sz w:val="28"/>
          <w:szCs w:val="28"/>
        </w:rPr>
        <w:t>Новый пакет антитеррористических законов</w:t>
      </w:r>
      <w:bookmarkEnd w:id="8"/>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За публичные призывы к терроризму в интернете, а также его публичное оправдание предусматривается штраф от 300 тысяч до 1 миллиона рублей или </w:t>
      </w:r>
      <w:r w:rsidRPr="00CF54BC">
        <w:rPr>
          <w:rFonts w:ascii="Times New Roman" w:hAnsi="Times New Roman" w:cs="Times New Roman"/>
          <w:sz w:val="28"/>
          <w:szCs w:val="28"/>
        </w:rPr>
        <w:lastRenderedPageBreak/>
        <w:t>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9"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9"/>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 xml:space="preserve">по отношению к действующему законодательствуРФ,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w:t>
      </w:r>
      <w:r w:rsidRPr="00CF54BC">
        <w:rPr>
          <w:rFonts w:ascii="Times New Roman" w:hAnsi="Times New Roman" w:cs="Times New Roman"/>
          <w:sz w:val="28"/>
          <w:szCs w:val="28"/>
        </w:rPr>
        <w:lastRenderedPageBreak/>
        <w:t xml:space="preserve">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 xml:space="preserve">огоизготовления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w:t>
      </w:r>
      <w:r w:rsidRPr="00CF54BC">
        <w:rPr>
          <w:rFonts w:ascii="Times New Roman" w:hAnsi="Times New Roman" w:cs="Times New Roman"/>
          <w:sz w:val="28"/>
          <w:szCs w:val="28"/>
        </w:rPr>
        <w:lastRenderedPageBreak/>
        <w:t xml:space="preserve">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0" w:name="_Toc455056693"/>
      <w:r w:rsidRPr="00CF54BC">
        <w:rPr>
          <w:rFonts w:ascii="Times New Roman" w:hAnsi="Times New Roman" w:cs="Times New Roman"/>
          <w:color w:val="auto"/>
        </w:rPr>
        <w:t>УГРОЗА ИСЛАМИЗМА</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1" w:name="_Toc455056694"/>
      <w:r w:rsidRPr="00CF54BC">
        <w:rPr>
          <w:rFonts w:ascii="Times New Roman" w:hAnsi="Times New Roman" w:cs="Times New Roman"/>
          <w:color w:val="auto"/>
          <w:sz w:val="28"/>
          <w:szCs w:val="28"/>
        </w:rPr>
        <w:t>Псевдогосударство</w:t>
      </w:r>
      <w:bookmarkEnd w:id="11"/>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lastRenderedPageBreak/>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 xml:space="preserve">/ДАИШважнейшее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членовобщины.</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2"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2"/>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–это и борьба со своими страстями, и устранение </w:t>
      </w:r>
      <w:r w:rsidR="002A62D0" w:rsidRPr="00CF54BC">
        <w:rPr>
          <w:rFonts w:ascii="Times New Roman" w:hAnsi="Times New Roman" w:cs="Times New Roman"/>
          <w:sz w:val="28"/>
          <w:szCs w:val="28"/>
        </w:rPr>
        <w:lastRenderedPageBreak/>
        <w:t xml:space="preserve">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 xml:space="preserve">мусульманэтот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подразумевает2</w:t>
      </w:r>
      <w:r w:rsidR="00B04446" w:rsidRPr="00CF54BC">
        <w:rPr>
          <w:rFonts w:ascii="Times New Roman" w:hAnsi="Times New Roman" w:cs="Times New Roman"/>
          <w:sz w:val="28"/>
          <w:szCs w:val="28"/>
        </w:rPr>
        <w:t>-я</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w:t>
      </w:r>
      <w:r w:rsidRPr="00CF54BC">
        <w:rPr>
          <w:rFonts w:ascii="Times New Roman" w:hAnsi="Times New Roman" w:cs="Times New Roman"/>
          <w:sz w:val="28"/>
          <w:szCs w:val="28"/>
        </w:rPr>
        <w:lastRenderedPageBreak/>
        <w:t xml:space="preserve">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3" w:name="_Toc455056696"/>
      <w:r w:rsidRPr="00CF54BC">
        <w:rPr>
          <w:rFonts w:ascii="Times New Roman" w:hAnsi="Times New Roman" w:cs="Times New Roman"/>
          <w:color w:val="auto"/>
        </w:rPr>
        <w:t>ВСЕМИРНАЯ СЕТЬ И ТЕРРОРИСТИЧЕСКИЙ ХАЛИФАТ</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4" w:name="_Toc455056697"/>
      <w:r w:rsidRPr="00CF54BC">
        <w:rPr>
          <w:rFonts w:ascii="Times New Roman" w:hAnsi="Times New Roman" w:cs="Times New Roman"/>
          <w:color w:val="auto"/>
          <w:sz w:val="28"/>
          <w:szCs w:val="28"/>
        </w:rPr>
        <w:t>Машина</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5" w:name="_Toc455056698"/>
      <w:r w:rsidRPr="00CF54BC">
        <w:rPr>
          <w:rFonts w:ascii="Times New Roman" w:hAnsi="Times New Roman" w:cs="Times New Roman"/>
          <w:color w:val="auto"/>
          <w:sz w:val="28"/>
          <w:szCs w:val="28"/>
        </w:rPr>
        <w:t>Применяемые технологии обмана и манипулирования</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 xml:space="preserve">еепристальном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w:t>
      </w:r>
      <w:r w:rsidRPr="00CF54BC">
        <w:rPr>
          <w:rFonts w:ascii="Times New Roman" w:hAnsi="Times New Roman" w:cs="Times New Roman"/>
          <w:sz w:val="28"/>
          <w:szCs w:val="28"/>
        </w:rPr>
        <w:lastRenderedPageBreak/>
        <w:t xml:space="preserve">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никак не оправдывает девушек и не снимает с них 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Кактакое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6" w:name="_Toc455056699"/>
      <w:r w:rsidRPr="00CF54BC">
        <w:rPr>
          <w:rFonts w:ascii="Times New Roman" w:hAnsi="Times New Roman" w:cs="Times New Roman"/>
          <w:color w:val="auto"/>
          <w:sz w:val="28"/>
          <w:szCs w:val="28"/>
        </w:rPr>
        <w:t>Механизм вербовки</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w:t>
      </w:r>
      <w:r w:rsidR="00553EB2" w:rsidRPr="00CF54BC">
        <w:rPr>
          <w:rFonts w:ascii="Times New Roman" w:hAnsi="Times New Roman" w:cs="Times New Roman"/>
          <w:sz w:val="28"/>
          <w:szCs w:val="28"/>
        </w:rPr>
        <w:lastRenderedPageBreak/>
        <w:t xml:space="preserve">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быть много. Общее у них одно: отъезд обычно оказывается внезапным, срочным, билет покупается незадолго до отъезда, не оставляя времени для размышленья.</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7" w:name="_Toc455056700"/>
      <w:r w:rsidRPr="00CF54BC">
        <w:rPr>
          <w:rFonts w:ascii="Times New Roman" w:hAnsi="Times New Roman" w:cs="Times New Roman"/>
          <w:color w:val="auto"/>
        </w:rPr>
        <w:t>РОЛЬ ПЕДАГОГОВ И РОДИТЕЛЕЙ В ПРОФИЛАКТИКЕ ИНТЕРНЕТ-ВЕРБОВКИ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w:t>
      </w:r>
      <w:r w:rsidR="00480C55" w:rsidRPr="00CF54BC">
        <w:rPr>
          <w:rFonts w:ascii="Times New Roman" w:hAnsi="Times New Roman" w:cs="Times New Roman"/>
          <w:sz w:val="28"/>
          <w:szCs w:val="28"/>
        </w:rPr>
        <w:lastRenderedPageBreak/>
        <w:t xml:space="preserve">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8" w:name="_Toc455056701"/>
      <w:r w:rsidRPr="00CF54BC">
        <w:rPr>
          <w:rFonts w:ascii="Times New Roman" w:hAnsi="Times New Roman" w:cs="Times New Roman"/>
          <w:color w:val="auto"/>
          <w:sz w:val="28"/>
          <w:szCs w:val="28"/>
        </w:rPr>
        <w:t>Основы эффективности контрпропаганды</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 xml:space="preserve">уюсистему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lastRenderedPageBreak/>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19" w:name="_Toc455056702"/>
      <w:r w:rsidRPr="00CF54BC">
        <w:rPr>
          <w:rFonts w:ascii="Times New Roman" w:hAnsi="Times New Roman" w:cs="Times New Roman"/>
          <w:color w:val="auto"/>
          <w:sz w:val="28"/>
          <w:szCs w:val="28"/>
        </w:rPr>
        <w:t>Практические аспекты. К применению</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3"/>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0"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0"/>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1"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1"/>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 xml:space="preserve">Одним из наиболее </w:t>
      </w:r>
      <w:r w:rsidR="0086056F" w:rsidRPr="00CF54BC">
        <w:rPr>
          <w:rFonts w:ascii="Times New Roman" w:hAnsi="Times New Roman" w:cs="Times New Roman"/>
          <w:sz w:val="28"/>
          <w:szCs w:val="28"/>
        </w:rPr>
        <w:lastRenderedPageBreak/>
        <w:t>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а также сфера ее социального влияния позволяют обеспечивать комплексное, системное воздействие на молодежь, а, следовательно, вносить существенный вклад в формирование культуры поведения и</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2"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3"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7"/>
      <w:r w:rsidRPr="00CF54BC">
        <w:rPr>
          <w:rFonts w:ascii="Times New Roman" w:hAnsi="Times New Roman" w:cs="Times New Roman"/>
          <w:color w:val="auto"/>
          <w:sz w:val="28"/>
          <w:szCs w:val="28"/>
        </w:rPr>
        <w:lastRenderedPageBreak/>
        <w:t>Организация просветительской деятельности с родителями обучающихся по профилактике экстремизма и терроризма в подростковой среде</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w:t>
      </w:r>
      <w:r w:rsidRPr="00CF54BC">
        <w:rPr>
          <w:rFonts w:ascii="Times New Roman" w:hAnsi="Times New Roman" w:cs="Times New Roman"/>
          <w:sz w:val="28"/>
          <w:szCs w:val="28"/>
        </w:rPr>
        <w:lastRenderedPageBreak/>
        <w:t xml:space="preserve">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AD745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7"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8" w:name="_Toc455056711"/>
      <w:r w:rsidRPr="00CF54BC">
        <w:rPr>
          <w:rFonts w:ascii="Times New Roman" w:hAnsi="Times New Roman" w:cs="Times New Roman"/>
          <w:color w:val="auto"/>
        </w:rPr>
        <w:t>Заключение</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Югре идет постоянная целенаправленная работа по укреплению антитеррористической защищенности объектов жизнеобеспечения и массового </w:t>
      </w:r>
      <w:r w:rsidRPr="00CF54BC">
        <w:rPr>
          <w:rFonts w:ascii="Times New Roman" w:hAnsi="Times New Roman" w:cs="Times New Roman"/>
          <w:sz w:val="28"/>
          <w:szCs w:val="28"/>
        </w:rPr>
        <w:lastRenderedPageBreak/>
        <w:t>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bookmarkStart w:id="29" w:name="_GoBack"/>
      <w:bookmarkEnd w:id="29"/>
    </w:p>
    <w:sectPr w:rsidR="00F62EAB" w:rsidRPr="00CF54BC"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70E" w:rsidRDefault="00C3570E" w:rsidP="000648C1">
      <w:pPr>
        <w:spacing w:after="0" w:line="240" w:lineRule="auto"/>
      </w:pPr>
      <w:r>
        <w:separator/>
      </w:r>
    </w:p>
  </w:endnote>
  <w:endnote w:type="continuationSeparator" w:id="1">
    <w:p w:rsidR="00C3570E" w:rsidRDefault="00C3570E" w:rsidP="00064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24109284"/>
      <w:docPartObj>
        <w:docPartGallery w:val="Page Numbers (Bottom of Page)"/>
        <w:docPartUnique/>
      </w:docPartObj>
    </w:sdtPr>
    <w:sdtContent>
      <w:p w:rsidR="00CE430A" w:rsidRPr="00BD58C7" w:rsidRDefault="00D127D4">
        <w:pPr>
          <w:pStyle w:val="ad"/>
          <w:jc w:val="center"/>
          <w:rPr>
            <w:rFonts w:ascii="Times New Roman" w:hAnsi="Times New Roman" w:cs="Times New Roman"/>
          </w:rPr>
        </w:pPr>
        <w:r w:rsidRPr="00BD58C7">
          <w:rPr>
            <w:rFonts w:ascii="Times New Roman" w:hAnsi="Times New Roman" w:cs="Times New Roman"/>
          </w:rPr>
          <w:fldChar w:fldCharType="begin"/>
        </w:r>
        <w:r w:rsidR="00CE430A"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6176DB">
          <w:rPr>
            <w:rFonts w:ascii="Times New Roman" w:hAnsi="Times New Roman" w:cs="Times New Roman"/>
            <w:noProof/>
          </w:rPr>
          <w:t>2</w:t>
        </w:r>
        <w:r w:rsidRPr="00BD58C7">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70E" w:rsidRDefault="00C3570E" w:rsidP="000648C1">
      <w:pPr>
        <w:spacing w:after="0" w:line="240" w:lineRule="auto"/>
      </w:pPr>
      <w:r>
        <w:separator/>
      </w:r>
    </w:p>
  </w:footnote>
  <w:footnote w:type="continuationSeparator" w:id="1">
    <w:p w:rsidR="00C3570E" w:rsidRDefault="00C3570E" w:rsidP="000648C1">
      <w:pPr>
        <w:spacing w:after="0" w:line="240" w:lineRule="auto"/>
      </w:pPr>
      <w:r>
        <w:continuationSeparator/>
      </w:r>
    </w:p>
  </w:footnote>
  <w:footnote w:id="2">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3">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176DB"/>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70E"/>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27D4"/>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CF"/>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r="http://schemas.openxmlformats.org/officeDocument/2006/relationships" xmlns:w="http://schemas.openxmlformats.org/wordprocessingml/2006/main">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a.ru/articles/1036264406" TargetMode="External"/><Relationship Id="rId5" Type="http://schemas.openxmlformats.org/officeDocument/2006/relationships/webSettings" Target="webSettings.xml"/><Relationship Id="rId10" Type="http://schemas.openxmlformats.org/officeDocument/2006/relationships/hyperlink" Target="http://ruskline.ru/analitika/2016/03/03/russkie_musulmane" TargetMode="External"/><Relationship Id="rId4" Type="http://schemas.openxmlformats.org/officeDocument/2006/relationships/settings" Target="setting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B5DF-7D43-4951-ACD5-1CA5770A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11725</Words>
  <Characters>66838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BystrovAV</cp:lastModifiedBy>
  <cp:revision>31</cp:revision>
  <cp:lastPrinted>2016-06-30T10:21:00Z</cp:lastPrinted>
  <dcterms:created xsi:type="dcterms:W3CDTF">2016-06-30T07:45:00Z</dcterms:created>
  <dcterms:modified xsi:type="dcterms:W3CDTF">2016-07-28T06:46:00Z</dcterms:modified>
</cp:coreProperties>
</file>