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D5" w:rsidRPr="009945D5" w:rsidRDefault="009945D5" w:rsidP="009945D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9945D5">
        <w:rPr>
          <w:b/>
          <w:bCs/>
          <w:sz w:val="36"/>
          <w:szCs w:val="36"/>
        </w:rPr>
        <w:t>Идеология терроризма – как ее победить? Ставка на молодежь</w:t>
      </w:r>
    </w:p>
    <w:p w:rsidR="009945D5" w:rsidRPr="009945D5" w:rsidRDefault="009945D5" w:rsidP="009945D5">
      <w:pPr>
        <w:spacing w:before="100" w:beforeAutospacing="1" w:after="100" w:afterAutospacing="1"/>
      </w:pPr>
      <w:r w:rsidRPr="009945D5">
        <w:t>31 Мая 2017</w:t>
      </w:r>
    </w:p>
    <w:p w:rsidR="009945D5" w:rsidRPr="009945D5" w:rsidRDefault="009945D5" w:rsidP="009945D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17731</wp:posOffset>
            </wp:positionH>
            <wp:positionV relativeFrom="paragraph">
              <wp:posOffset>-244</wp:posOffset>
            </wp:positionV>
            <wp:extent cx="4004310" cy="2384474"/>
            <wp:effectExtent l="19050" t="0" r="0" b="0"/>
            <wp:wrapSquare wrapText="bothSides"/>
            <wp:docPr id="1" name="Рисунок 1" descr="Идеология терроризма – как ее победить? Ставка на молодеж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ология терроризма – как ее победить? Ставка на молодеж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38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5D5" w:rsidRPr="009945D5" w:rsidRDefault="009945D5" w:rsidP="00534D67">
      <w:pPr>
        <w:ind w:firstLine="709"/>
        <w:jc w:val="both"/>
      </w:pPr>
      <w:r w:rsidRPr="009945D5">
        <w:rPr>
          <w:b/>
          <w:bCs/>
        </w:rPr>
        <w:t>Терроризм – можно ли ему успешно противодействовать? Об этом шла речь на XIII Всероссийском специализированном форуме «Современные системы безопасности – Антитеррор».</w:t>
      </w:r>
      <w:r w:rsidRPr="009945D5">
        <w:t xml:space="preserve">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Вчера мы уже рассказывали об итогах научно-практической конференции «Актуальные формы противодействия идеологии терроризма: практический опыт и меры по совершенствованию деятельности», состоявшейся в Красноярске. Сегодня вашему вниманию предлагается продолжение того разговора, который в течение двух дней вели представители силового блока, органов исполнительной власти, общественности и средств массовой информации.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Рассуждая о насущных задачах, стоящих перед обществом в деле </w:t>
      </w:r>
      <w:proofErr w:type="gramStart"/>
      <w:r w:rsidRPr="009945D5">
        <w:t>противодействия идеологии терроризма, выступающие то и дело упоминали</w:t>
      </w:r>
      <w:proofErr w:type="gramEnd"/>
      <w:r w:rsidRPr="009945D5">
        <w:t xml:space="preserve"> молодежь. К сожалению, именно некоторые ее представители являются той питательной средой, в которой прорастают корни экстремизма. Показательные примеры звучали из уст официального представителя Национального антитеррористического комитета Андрея </w:t>
      </w:r>
      <w:proofErr w:type="spellStart"/>
      <w:r w:rsidRPr="009945D5">
        <w:t>Пржездомского</w:t>
      </w:r>
      <w:proofErr w:type="spellEnd"/>
      <w:r w:rsidRPr="009945D5">
        <w:t xml:space="preserve">: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- Терроризм молодеет, и в </w:t>
      </w:r>
      <w:proofErr w:type="gramStart"/>
      <w:r w:rsidRPr="009945D5">
        <w:t>этом</w:t>
      </w:r>
      <w:proofErr w:type="gramEnd"/>
      <w:r w:rsidRPr="009945D5">
        <w:t xml:space="preserve"> я вижу в первую очередь влияние телевидения и компьютерных игр. Привыкая к ежеминутному убийству на экране, подростки начинают по-другому смотреть на смерть, у них нет ужаса перед ней. Недавно в руки попала тетрадь с конспектами некой студентки пединститута. Вроде бы все в </w:t>
      </w:r>
      <w:proofErr w:type="gramStart"/>
      <w:r w:rsidRPr="009945D5">
        <w:t>порядке</w:t>
      </w:r>
      <w:proofErr w:type="gramEnd"/>
      <w:r w:rsidRPr="009945D5">
        <w:t xml:space="preserve">: излагается сущность педагогической деятельности, но рядом - схема изготовления глушителя и перечень компонентов самодельного взрывного устройства. К сожалению, в </w:t>
      </w:r>
      <w:proofErr w:type="gramStart"/>
      <w:r w:rsidRPr="009945D5">
        <w:t>сознании</w:t>
      </w:r>
      <w:proofErr w:type="gramEnd"/>
      <w:r w:rsidRPr="009945D5">
        <w:t xml:space="preserve"> некоторых представителей молодежи идут процессы, которые мы, взрослые, еще не осмыслили. Довелось пообщаться с другой девушкой-студенткой. Щупленькая, скромная, три часа просидела передо мной в пальто, не выпив при этом ни глотка чая и не поднимая глаз. Абсолютно не </w:t>
      </w:r>
      <w:proofErr w:type="gramStart"/>
      <w:r w:rsidRPr="009945D5">
        <w:t>религиозная</w:t>
      </w:r>
      <w:proofErr w:type="gramEnd"/>
      <w:r w:rsidRPr="009945D5">
        <w:t xml:space="preserve">, но написала мерзкие стихи, в которых звучали призывы к убийству людей. История ее проста: в </w:t>
      </w:r>
      <w:proofErr w:type="gramStart"/>
      <w:r w:rsidRPr="009945D5">
        <w:t>интернете</w:t>
      </w:r>
      <w:proofErr w:type="gramEnd"/>
      <w:r w:rsidRPr="009945D5">
        <w:t xml:space="preserve"> натолкнулась на сообщество неких «умных людей» и заинтересовалась их взглядами. </w:t>
      </w:r>
      <w:proofErr w:type="gramStart"/>
      <w:r w:rsidRPr="009945D5">
        <w:t>Спрашиваю: вот вы призывали уничтожать себе подобных – неужели не жалко?</w:t>
      </w:r>
      <w:proofErr w:type="gramEnd"/>
      <w:r w:rsidRPr="009945D5">
        <w:t xml:space="preserve"> Отвечает: я как-то не задумывалась…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Как считает заместитель начальника Главного управления по противодействию экстремизму МВД России Алексей Кузнецов, эффективным средством противодействия </w:t>
      </w:r>
      <w:proofErr w:type="spellStart"/>
      <w:r w:rsidRPr="009945D5">
        <w:t>радикализации</w:t>
      </w:r>
      <w:proofErr w:type="spellEnd"/>
      <w:r w:rsidRPr="009945D5">
        <w:t xml:space="preserve"> граждан и вербовке в радикальные структуры интернет является ограничение доступа к </w:t>
      </w:r>
      <w:proofErr w:type="spellStart"/>
      <w:r w:rsidRPr="009945D5">
        <w:t>интернет-ресурсам</w:t>
      </w:r>
      <w:proofErr w:type="spellEnd"/>
      <w:r w:rsidRPr="009945D5">
        <w:t xml:space="preserve">: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- Интернет – это не только основное средство коммуникации, но и новая угроза безопасности общества. Китай демонстрирует нам положительный опыт в борьбе с терроризмом, который заключается в тотальной блокировке сайтов. Да, у нас есть проблемы юридического и технического характера с операторами, к сожалению, ограничения можно обходить с помощью смены сетевых адресов. Но иного пути попросту нет. Пример Майдана показывает, как легко протестные акции могут трансформироваться в экстремизм.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Его поддержал руководитель управления Роскомнадзора по Сибирскому федеральному округу Игорь </w:t>
      </w:r>
      <w:proofErr w:type="spellStart"/>
      <w:r w:rsidRPr="009945D5">
        <w:t>Зиненко</w:t>
      </w:r>
      <w:proofErr w:type="spellEnd"/>
      <w:r w:rsidRPr="009945D5">
        <w:t xml:space="preserve">, рассказавший, что мониторинг и процесс выявления экстремистских ресурсов налажен у нас на должном уровне. В результате по решению суда в 2015 году в Российской Федерации было заблокировано лишь 2 тысячи сайтов, тогда как в 2016-м – уже 35 тысяч.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И все-таки, на мой взгляд, одними только запретительными мерами победить глобальное зло невозможно. Чтобы отвратить молодежь от экстремизма, надо не просто лишить ее одной идеологии, но дать другую, не менее привлекательную. </w:t>
      </w:r>
      <w:proofErr w:type="gramStart"/>
      <w:r w:rsidRPr="009945D5">
        <w:t xml:space="preserve">Так же считает, например, и главный советник аппарата полпреда Президента РФ в </w:t>
      </w:r>
      <w:proofErr w:type="spellStart"/>
      <w:r w:rsidRPr="009945D5">
        <w:t>Северо-Кавказском</w:t>
      </w:r>
      <w:proofErr w:type="spellEnd"/>
      <w:r w:rsidRPr="009945D5">
        <w:t xml:space="preserve"> федеральном округе Марат </w:t>
      </w:r>
      <w:proofErr w:type="spellStart"/>
      <w:r w:rsidRPr="009945D5">
        <w:t>Хажуев</w:t>
      </w:r>
      <w:proofErr w:type="spellEnd"/>
      <w:r w:rsidRPr="009945D5">
        <w:t xml:space="preserve">: </w:t>
      </w:r>
      <w:proofErr w:type="gramEnd"/>
    </w:p>
    <w:p w:rsidR="009945D5" w:rsidRPr="009945D5" w:rsidRDefault="009945D5" w:rsidP="00534D67">
      <w:pPr>
        <w:ind w:firstLine="709"/>
        <w:jc w:val="both"/>
      </w:pPr>
      <w:r w:rsidRPr="009945D5">
        <w:lastRenderedPageBreak/>
        <w:t xml:space="preserve">- Я - сторонник борьбы не с сайтами, а с </w:t>
      </w:r>
      <w:proofErr w:type="spellStart"/>
      <w:r w:rsidRPr="009945D5">
        <w:t>контентом</w:t>
      </w:r>
      <w:proofErr w:type="spellEnd"/>
      <w:r w:rsidRPr="009945D5">
        <w:t xml:space="preserve">. Необходимо не просто уходить в глухую оборону, а готовиться к «наступлению». Одним из эффективных направлений я вижу формирование и поддержку в </w:t>
      </w:r>
      <w:proofErr w:type="gramStart"/>
      <w:r w:rsidRPr="009945D5">
        <w:t>регионах</w:t>
      </w:r>
      <w:proofErr w:type="gramEnd"/>
      <w:r w:rsidRPr="009945D5">
        <w:t xml:space="preserve"> «школ </w:t>
      </w:r>
      <w:proofErr w:type="spellStart"/>
      <w:r w:rsidRPr="009945D5">
        <w:t>блогеров</w:t>
      </w:r>
      <w:proofErr w:type="spellEnd"/>
      <w:r w:rsidRPr="009945D5">
        <w:t xml:space="preserve">». </w:t>
      </w:r>
    </w:p>
    <w:p w:rsidR="009945D5" w:rsidRPr="009945D5" w:rsidRDefault="009945D5" w:rsidP="00534D67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56515</wp:posOffset>
            </wp:positionV>
            <wp:extent cx="4088765" cy="2728595"/>
            <wp:effectExtent l="19050" t="0" r="6985" b="0"/>
            <wp:wrapSquare wrapText="bothSides"/>
            <wp:docPr id="2" name="Рисунок 2" descr="https://myopenugra.ru/upload/1%D1%8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openugra.ru/upload/1%D1%80%D1%8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5D5">
        <w:t xml:space="preserve">Откровенно и честно рассказывала о проблемах заместитель руководителя департамента государственной политики в сфере воспитания детей и молодежи </w:t>
      </w:r>
      <w:proofErr w:type="spellStart"/>
      <w:r w:rsidRPr="009945D5">
        <w:t>Минобрнауки</w:t>
      </w:r>
      <w:proofErr w:type="spellEnd"/>
      <w:r w:rsidRPr="009945D5">
        <w:t xml:space="preserve"> </w:t>
      </w:r>
      <w:proofErr w:type="spellStart"/>
      <w:r w:rsidRPr="009945D5">
        <w:t>Саргылана</w:t>
      </w:r>
      <w:proofErr w:type="spellEnd"/>
      <w:r w:rsidRPr="009945D5">
        <w:t xml:space="preserve"> Брызгалова, выступившая с докладом «Профилактическая работа в образовательных организациях. Социальная адаптация учащихся, подпавших под действие идеологии терроризма». Она отметила недостаточную компетентность в данном </w:t>
      </w:r>
      <w:proofErr w:type="gramStart"/>
      <w:r w:rsidRPr="009945D5">
        <w:t>вопросе</w:t>
      </w:r>
      <w:proofErr w:type="gramEnd"/>
      <w:r w:rsidRPr="009945D5">
        <w:t xml:space="preserve"> многих учителей, несовершенство механизмов выявления подростков, подпавших под влияние вербовщиков, слабый контроль родителей за «жизнью» собственных детей в «мировой паутине»: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- Надо совершенствовать деятельность специалистов образования и опеки, чаще привлекать к работе профессиональных психологов. На региональном уровне губернаторам необходимо совершенствовать систему </w:t>
      </w:r>
      <w:proofErr w:type="gramStart"/>
      <w:r w:rsidRPr="009945D5">
        <w:t>контроля за</w:t>
      </w:r>
      <w:proofErr w:type="gramEnd"/>
      <w:r w:rsidRPr="009945D5">
        <w:t xml:space="preserve"> действиями антитеррористических комиссий. В этом направлении отмечу положительный опыт Татарстана, Чечни, Ставрополья. Необходимо особое внимание к протестной молодежи, эффективная воспитательная работа.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Настоящим откровением прозвучала фраза </w:t>
      </w:r>
      <w:proofErr w:type="spellStart"/>
      <w:r w:rsidRPr="009945D5">
        <w:t>Саргыланы</w:t>
      </w:r>
      <w:proofErr w:type="spellEnd"/>
      <w:r w:rsidRPr="009945D5">
        <w:t xml:space="preserve"> Брызгаловой о том, что необходимо озаботиться задачей формирования у молодежи духовно-нравственных ценностей. К сожалению, в последние десятилетия государство куда больше думало о физическом здоровье и образовании подрастающего поколения, чем о его сознании. Об этом же сокрушался и заместитель секретаря </w:t>
      </w:r>
      <w:proofErr w:type="gramStart"/>
      <w:r w:rsidRPr="009945D5">
        <w:t>Общественной</w:t>
      </w:r>
      <w:proofErr w:type="gramEnd"/>
      <w:r w:rsidRPr="009945D5">
        <w:t xml:space="preserve"> палаты РФ Сергей Орджоникидзе: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- В свое время мы упустили работу с молодежью…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Впрочем, пустым сетованиям на конференции места не было. В зале собрались профессионалы, которые привыкли решать любые, пусть даже самые сложные задачи, в том числе и идеологические. Об этом мы расскажем в продолжении данного отчета. </w:t>
      </w:r>
    </w:p>
    <w:p w:rsidR="009945D5" w:rsidRPr="00534D67" w:rsidRDefault="009945D5" w:rsidP="00534D67">
      <w:pPr>
        <w:ind w:firstLine="709"/>
        <w:jc w:val="both"/>
        <w:rPr>
          <w:i/>
        </w:rPr>
      </w:pPr>
      <w:r w:rsidRPr="00534D67">
        <w:rPr>
          <w:i/>
        </w:rPr>
        <w:t xml:space="preserve">Продолжение следует.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Автор: Андрей Рябов </w:t>
      </w:r>
    </w:p>
    <w:p w:rsidR="009945D5" w:rsidRPr="009945D5" w:rsidRDefault="009945D5" w:rsidP="00534D67">
      <w:pPr>
        <w:ind w:firstLine="709"/>
        <w:jc w:val="both"/>
      </w:pPr>
      <w:r w:rsidRPr="009945D5">
        <w:t xml:space="preserve">Фото: </w:t>
      </w:r>
      <w:proofErr w:type="spellStart"/>
      <w:r w:rsidRPr="009945D5">
        <w:t>krasfair.ru</w:t>
      </w:r>
      <w:proofErr w:type="spellEnd"/>
      <w:r w:rsidRPr="009945D5">
        <w:t xml:space="preserve"> </w:t>
      </w:r>
    </w:p>
    <w:p w:rsidR="009945D5" w:rsidRPr="00534D67" w:rsidRDefault="00284190">
      <w:pPr>
        <w:rPr>
          <w:sz w:val="22"/>
          <w:szCs w:val="22"/>
        </w:rPr>
      </w:pPr>
      <w:hyperlink r:id="rId7" w:history="1">
        <w:r w:rsidR="009945D5" w:rsidRPr="00534D67">
          <w:rPr>
            <w:rStyle w:val="a7"/>
            <w:sz w:val="22"/>
            <w:szCs w:val="22"/>
          </w:rPr>
          <w:t>https://myopenugra.ru/news/society/ideologiya_terrorizma_kak_ee_pobedit_stavka_na_molodezh/?sphrase_id=76085</w:t>
        </w:r>
      </w:hyperlink>
    </w:p>
    <w:p w:rsidR="009945D5" w:rsidRPr="009945D5" w:rsidRDefault="009945D5"/>
    <w:p w:rsidR="009945D5" w:rsidRPr="009945D5" w:rsidRDefault="009945D5"/>
    <w:p w:rsidR="009945D5" w:rsidRPr="009945D5" w:rsidRDefault="009945D5"/>
    <w:sectPr w:rsidR="009945D5" w:rsidRPr="009945D5" w:rsidSect="00534D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0CD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45D5"/>
    <w:rsid w:val="001D2DF3"/>
    <w:rsid w:val="00252688"/>
    <w:rsid w:val="00284190"/>
    <w:rsid w:val="00420287"/>
    <w:rsid w:val="00534D67"/>
    <w:rsid w:val="00647202"/>
    <w:rsid w:val="00665C49"/>
    <w:rsid w:val="008568C4"/>
    <w:rsid w:val="009945D5"/>
    <w:rsid w:val="00A14B71"/>
    <w:rsid w:val="00D5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5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4720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7202"/>
    <w:pPr>
      <w:keepNext/>
      <w:jc w:val="center"/>
      <w:outlineLvl w:val="2"/>
    </w:pPr>
    <w:rPr>
      <w:rFonts w:ascii="Calibri" w:eastAsiaTheme="majorEastAsia" w:hAnsi="Calibri" w:cs="Calibri"/>
      <w:b/>
      <w:bCs/>
      <w:shadow/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65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65C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65C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65C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65C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65C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64720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7202"/>
    <w:rPr>
      <w:rFonts w:ascii="Calibri" w:eastAsiaTheme="majorEastAsia" w:hAnsi="Calibri" w:cs="Calibri"/>
      <w:b/>
      <w:bCs/>
      <w:shadow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65C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65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65C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65C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65C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65C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665C49"/>
    <w:pPr>
      <w:ind w:left="720"/>
      <w:contextualSpacing/>
    </w:pPr>
  </w:style>
  <w:style w:type="character" w:styleId="a4">
    <w:name w:val="Strong"/>
    <w:uiPriority w:val="22"/>
    <w:qFormat/>
    <w:rsid w:val="00647202"/>
    <w:rPr>
      <w:b/>
      <w:bCs/>
    </w:rPr>
  </w:style>
  <w:style w:type="paragraph" w:styleId="a5">
    <w:name w:val="No Spacing"/>
    <w:qFormat/>
    <w:rsid w:val="00647202"/>
    <w:rPr>
      <w:rFonts w:ascii="Calibri" w:hAnsi="Calibri" w:cs="Calibri"/>
      <w:sz w:val="22"/>
      <w:szCs w:val="22"/>
      <w:lang w:eastAsia="en-US"/>
    </w:rPr>
  </w:style>
  <w:style w:type="paragraph" w:customStyle="1" w:styleId="date">
    <w:name w:val="date"/>
    <w:basedOn w:val="a"/>
    <w:rsid w:val="009945D5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9945D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9945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45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openugra.ru/news/society/ideologiya_terrorizma_kak_ee_pobedit_stavka_na_molodezh/?sphrase_id=76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BystrovAV</dc:creator>
  <cp:lastModifiedBy>BystrovAV</cp:lastModifiedBy>
  <cp:revision>2</cp:revision>
  <dcterms:created xsi:type="dcterms:W3CDTF">2017-06-27T14:53:00Z</dcterms:created>
  <dcterms:modified xsi:type="dcterms:W3CDTF">2017-06-28T04:44:00Z</dcterms:modified>
</cp:coreProperties>
</file>