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CE" w:rsidRPr="004968CE" w:rsidRDefault="004968CE" w:rsidP="004968C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8CE">
        <w:rPr>
          <w:rFonts w:ascii="Times New Roman" w:hAnsi="Times New Roman" w:cs="Times New Roman"/>
          <w:b/>
          <w:sz w:val="28"/>
          <w:szCs w:val="28"/>
        </w:rPr>
        <w:t>2.4 Принятые санкции за нарушения санитарного законодательства по г. Нефтеюганску</w:t>
      </w:r>
    </w:p>
    <w:p w:rsidR="004968CE" w:rsidRDefault="004968CE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0E0" w:rsidRDefault="003B0D2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20E0" w:rsidRPr="00DB2F48">
        <w:rPr>
          <w:rFonts w:ascii="Times New Roman" w:hAnsi="Times New Roman" w:cs="Times New Roman"/>
          <w:sz w:val="24"/>
          <w:szCs w:val="24"/>
        </w:rPr>
        <w:t xml:space="preserve">В целях улучшения показателей приоритетных заболеваний, обусловленных неблагоприятным воздействием факторов среды обитания населения автономного округа Управлением Роспотребнадзора по ХМАО-Югре (ТО УФС в </w:t>
      </w:r>
      <w:proofErr w:type="spellStart"/>
      <w:r w:rsidR="007E20E0" w:rsidRPr="00DB2F4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7E20E0" w:rsidRPr="00DB2F4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7E20E0" w:rsidRPr="00DB2F48">
        <w:rPr>
          <w:rFonts w:ascii="Times New Roman" w:hAnsi="Times New Roman" w:cs="Times New Roman"/>
          <w:sz w:val="24"/>
          <w:szCs w:val="24"/>
        </w:rPr>
        <w:t>ефтеюганске</w:t>
      </w:r>
      <w:proofErr w:type="spellEnd"/>
      <w:r w:rsidR="007E20E0" w:rsidRPr="00DB2F48">
        <w:rPr>
          <w:rFonts w:ascii="Times New Roman" w:hAnsi="Times New Roman" w:cs="Times New Roman"/>
          <w:sz w:val="24"/>
          <w:szCs w:val="24"/>
        </w:rPr>
        <w:t xml:space="preserve">, Нефтеюганском районе и </w:t>
      </w:r>
      <w:proofErr w:type="spellStart"/>
      <w:r w:rsidR="007E20E0" w:rsidRPr="00DB2F48">
        <w:rPr>
          <w:rFonts w:ascii="Times New Roman" w:hAnsi="Times New Roman" w:cs="Times New Roman"/>
          <w:sz w:val="24"/>
          <w:szCs w:val="24"/>
        </w:rPr>
        <w:t>г.Пыть-Ях</w:t>
      </w:r>
      <w:proofErr w:type="spellEnd"/>
      <w:r w:rsidR="007E20E0" w:rsidRPr="00DB2F48">
        <w:rPr>
          <w:rFonts w:ascii="Times New Roman" w:hAnsi="Times New Roman" w:cs="Times New Roman"/>
          <w:sz w:val="24"/>
          <w:szCs w:val="24"/>
        </w:rPr>
        <w:t>), при проведении контрольно-надзорных мероприятий</w:t>
      </w:r>
      <w:r w:rsidR="00C7226C">
        <w:rPr>
          <w:rFonts w:ascii="Times New Roman" w:hAnsi="Times New Roman" w:cs="Times New Roman"/>
          <w:sz w:val="24"/>
          <w:szCs w:val="24"/>
        </w:rPr>
        <w:t>, а также в рамках административного расследования, эпидемиологического расследования,</w:t>
      </w:r>
      <w:r w:rsidR="007E20E0" w:rsidRPr="00DB2F48">
        <w:rPr>
          <w:rFonts w:ascii="Times New Roman" w:hAnsi="Times New Roman" w:cs="Times New Roman"/>
          <w:sz w:val="24"/>
          <w:szCs w:val="24"/>
        </w:rPr>
        <w:t xml:space="preserve"> применяются меры административного принуждения к субъектам хозяйственной деятельности, допускающим нарушения санитарного законодательства и законодательства о защите прав потребителей.</w:t>
      </w:r>
    </w:p>
    <w:p w:rsidR="00AA39E4" w:rsidRDefault="00C7226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специалистами территориально</w:t>
      </w:r>
      <w:r w:rsidR="00922FD7">
        <w:rPr>
          <w:rFonts w:ascii="Times New Roman" w:hAnsi="Times New Roman" w:cs="Times New Roman"/>
          <w:sz w:val="24"/>
          <w:szCs w:val="24"/>
        </w:rPr>
        <w:t xml:space="preserve">го отдела </w:t>
      </w:r>
      <w:r w:rsidR="00865856">
        <w:rPr>
          <w:rFonts w:ascii="Times New Roman" w:hAnsi="Times New Roman" w:cs="Times New Roman"/>
          <w:sz w:val="24"/>
          <w:szCs w:val="24"/>
        </w:rPr>
        <w:t xml:space="preserve"> в 2018 году возбуждено </w:t>
      </w:r>
      <w:r w:rsidR="00AA39E4">
        <w:rPr>
          <w:rFonts w:ascii="Times New Roman" w:hAnsi="Times New Roman" w:cs="Times New Roman"/>
          <w:sz w:val="24"/>
          <w:szCs w:val="24"/>
        </w:rPr>
        <w:t>208 дел об административном правонарушении,</w:t>
      </w:r>
      <w:r w:rsidR="00F30A4A">
        <w:rPr>
          <w:rFonts w:ascii="Times New Roman" w:hAnsi="Times New Roman" w:cs="Times New Roman"/>
          <w:sz w:val="24"/>
          <w:szCs w:val="24"/>
        </w:rPr>
        <w:t xml:space="preserve"> на 20% меньше, чем в 2017 году.  В</w:t>
      </w:r>
      <w:r w:rsidR="001F124C">
        <w:rPr>
          <w:rFonts w:ascii="Times New Roman" w:hAnsi="Times New Roman" w:cs="Times New Roman"/>
          <w:sz w:val="24"/>
          <w:szCs w:val="24"/>
        </w:rPr>
        <w:t xml:space="preserve"> 2017 году </w:t>
      </w:r>
      <w:r w:rsidR="00E460E4">
        <w:rPr>
          <w:rFonts w:ascii="Times New Roman" w:hAnsi="Times New Roman" w:cs="Times New Roman"/>
          <w:sz w:val="24"/>
          <w:szCs w:val="24"/>
        </w:rPr>
        <w:t xml:space="preserve"> возбуждено 282 дела об административном правонарушении, что на 10% меньше, чем в 2016 году,</w:t>
      </w:r>
      <w:r w:rsidR="001F124C">
        <w:rPr>
          <w:rFonts w:ascii="Times New Roman" w:hAnsi="Times New Roman" w:cs="Times New Roman"/>
          <w:sz w:val="24"/>
          <w:szCs w:val="24"/>
        </w:rPr>
        <w:t xml:space="preserve">  </w:t>
      </w:r>
      <w:r w:rsidR="00922FD7">
        <w:rPr>
          <w:rFonts w:ascii="Times New Roman" w:hAnsi="Times New Roman" w:cs="Times New Roman"/>
          <w:sz w:val="24"/>
          <w:szCs w:val="24"/>
        </w:rPr>
        <w:t>в 2016 году возбуждено 314 дел об администр</w:t>
      </w:r>
      <w:r w:rsidR="00AA39E4">
        <w:rPr>
          <w:rFonts w:ascii="Times New Roman" w:hAnsi="Times New Roman" w:cs="Times New Roman"/>
          <w:sz w:val="24"/>
          <w:szCs w:val="24"/>
        </w:rPr>
        <w:t>ативном правонарушении.</w:t>
      </w:r>
    </w:p>
    <w:p w:rsidR="007E20E0" w:rsidRDefault="00922FD7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Уменьшение в сравнении с </w:t>
      </w:r>
      <w:r w:rsidR="00F30A4A">
        <w:rPr>
          <w:rFonts w:ascii="Times New Roman" w:hAnsi="Times New Roman" w:cs="Times New Roman"/>
          <w:sz w:val="24"/>
          <w:szCs w:val="24"/>
        </w:rPr>
        <w:t>2016-2017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E20E0" w:rsidRPr="00DB2F48">
        <w:rPr>
          <w:rFonts w:ascii="Times New Roman" w:hAnsi="Times New Roman" w:cs="Times New Roman"/>
          <w:sz w:val="24"/>
          <w:szCs w:val="24"/>
        </w:rPr>
        <w:t xml:space="preserve"> произошло </w:t>
      </w:r>
      <w:r w:rsidR="00E460E4">
        <w:rPr>
          <w:rFonts w:ascii="Times New Roman" w:hAnsi="Times New Roman" w:cs="Times New Roman"/>
          <w:sz w:val="24"/>
          <w:szCs w:val="24"/>
        </w:rPr>
        <w:t xml:space="preserve"> в результате изменений, внесенных в Федеральный закон от 26.12.2008г №294 «О защите прав юридических лиц и индивидуальных предпринимателей…», предусматривающий с 01.01.2017г исключительно претензионный порядок обращений граждан с жалобами</w:t>
      </w:r>
      <w:proofErr w:type="gramStart"/>
      <w:r w:rsidR="00E460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460E4">
        <w:rPr>
          <w:rFonts w:ascii="Times New Roman" w:hAnsi="Times New Roman" w:cs="Times New Roman"/>
          <w:sz w:val="24"/>
          <w:szCs w:val="24"/>
        </w:rPr>
        <w:t xml:space="preserve"> </w:t>
      </w:r>
      <w:r w:rsidR="006A4DB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A4DB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A4DB0">
        <w:rPr>
          <w:rFonts w:ascii="Times New Roman" w:hAnsi="Times New Roman" w:cs="Times New Roman"/>
          <w:sz w:val="24"/>
          <w:szCs w:val="24"/>
        </w:rPr>
        <w:t>аблица №1)</w:t>
      </w:r>
      <w:r w:rsidR="00F30A4A">
        <w:rPr>
          <w:rFonts w:ascii="Times New Roman" w:hAnsi="Times New Roman" w:cs="Times New Roman"/>
          <w:sz w:val="24"/>
          <w:szCs w:val="24"/>
        </w:rPr>
        <w:t>. Тем самым, при поступлении обращений граждан, которыми не был соблюден порядок, установленный положениями ФЗ</w:t>
      </w:r>
      <w:r w:rsidR="00F30A4A" w:rsidRPr="00F30A4A">
        <w:rPr>
          <w:rFonts w:ascii="Times New Roman" w:hAnsi="Times New Roman" w:cs="Times New Roman"/>
          <w:sz w:val="24"/>
          <w:szCs w:val="24"/>
        </w:rPr>
        <w:t xml:space="preserve"> </w:t>
      </w:r>
      <w:r w:rsidR="00F30A4A">
        <w:rPr>
          <w:rFonts w:ascii="Times New Roman" w:hAnsi="Times New Roman" w:cs="Times New Roman"/>
          <w:sz w:val="24"/>
          <w:szCs w:val="24"/>
        </w:rPr>
        <w:t>от 26.12.2008г №294 «О защите прав юридических лиц и индивидуальных предпринимателей…», были даны разъяснения о порядке рассмотрения заявлений и обращений в государственный орган. Законные снования для проведения надзорных мероприятий отсутствовали, соответственно, меры административного воздействия не применялись.</w:t>
      </w:r>
    </w:p>
    <w:p w:rsidR="00F30A4A" w:rsidRPr="00DB2F48" w:rsidRDefault="00F30A4A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0E0" w:rsidRPr="006A4DB0" w:rsidRDefault="006147DC" w:rsidP="007E2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 № 38 </w:t>
      </w:r>
      <w:r w:rsidR="00F30A4A">
        <w:rPr>
          <w:rFonts w:ascii="Times New Roman" w:hAnsi="Times New Roman" w:cs="Times New Roman"/>
          <w:sz w:val="24"/>
          <w:szCs w:val="24"/>
        </w:rPr>
        <w:t>Количество возбужденных дел об административном правонарушении</w:t>
      </w:r>
    </w:p>
    <w:p w:rsidR="007E20E0" w:rsidRPr="007E20E0" w:rsidRDefault="007E20E0" w:rsidP="007E20E0">
      <w:r w:rsidRPr="007E20E0">
        <w:tab/>
      </w:r>
      <w:r w:rsidRPr="007E20E0">
        <w:rPr>
          <w:noProof/>
          <w:lang w:eastAsia="ru-RU"/>
        </w:rPr>
        <w:drawing>
          <wp:inline distT="0" distB="0" distL="0" distR="0" wp14:anchorId="778FF8BD" wp14:editId="69467174">
            <wp:extent cx="2752725" cy="180975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72BA2" w:rsidRDefault="007E20E0" w:rsidP="00C72BA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     </w:t>
      </w:r>
      <w:r w:rsidR="002D7568">
        <w:rPr>
          <w:rFonts w:ascii="Times New Roman" w:hAnsi="Times New Roman" w:cs="Times New Roman"/>
          <w:sz w:val="24"/>
          <w:szCs w:val="24"/>
        </w:rPr>
        <w:t>В 2018 году вынесено</w:t>
      </w:r>
      <w:r w:rsidR="002D7568" w:rsidRPr="00DB2F48">
        <w:rPr>
          <w:rFonts w:ascii="Times New Roman" w:hAnsi="Times New Roman" w:cs="Times New Roman"/>
          <w:sz w:val="24"/>
          <w:szCs w:val="24"/>
        </w:rPr>
        <w:t xml:space="preserve"> территориальным отделом (учитываются протоколы, поступившие из ОМВД и прокуратуры) постановлений о наложении административного наказания</w:t>
      </w:r>
      <w:r w:rsidR="002D7568">
        <w:rPr>
          <w:rFonts w:ascii="Times New Roman" w:hAnsi="Times New Roman" w:cs="Times New Roman"/>
          <w:sz w:val="24"/>
          <w:szCs w:val="24"/>
        </w:rPr>
        <w:t xml:space="preserve"> </w:t>
      </w:r>
      <w:r w:rsidR="00A92E28">
        <w:rPr>
          <w:rFonts w:ascii="Times New Roman" w:hAnsi="Times New Roman" w:cs="Times New Roman"/>
          <w:sz w:val="24"/>
          <w:szCs w:val="24"/>
        </w:rPr>
        <w:t>–</w:t>
      </w:r>
      <w:r w:rsidR="002D7568">
        <w:rPr>
          <w:rFonts w:ascii="Times New Roman" w:hAnsi="Times New Roman" w:cs="Times New Roman"/>
          <w:sz w:val="24"/>
          <w:szCs w:val="24"/>
        </w:rPr>
        <w:t xml:space="preserve"> </w:t>
      </w:r>
      <w:r w:rsidR="00C72BA2">
        <w:rPr>
          <w:rFonts w:ascii="Times New Roman" w:hAnsi="Times New Roman" w:cs="Times New Roman"/>
          <w:sz w:val="24"/>
          <w:szCs w:val="24"/>
        </w:rPr>
        <w:t>213, в том числе административных наказаний в виде штрафа – 206, что составляет 96,7% от общего числа наложенных наказаний, вынесенных постановлений по делу об административном правонарушении.</w:t>
      </w:r>
    </w:p>
    <w:p w:rsidR="001618FF" w:rsidRDefault="00C72BA2" w:rsidP="001618F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0E0" w:rsidRPr="00DB2F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5AC5">
        <w:rPr>
          <w:rFonts w:ascii="Times New Roman" w:hAnsi="Times New Roman" w:cs="Times New Roman"/>
          <w:sz w:val="24"/>
          <w:szCs w:val="24"/>
        </w:rPr>
        <w:t>В 2017 году</w:t>
      </w:r>
      <w:r w:rsidR="00855AC5" w:rsidRPr="00855AC5">
        <w:rPr>
          <w:rFonts w:ascii="Times New Roman" w:hAnsi="Times New Roman" w:cs="Times New Roman"/>
          <w:sz w:val="24"/>
          <w:szCs w:val="24"/>
        </w:rPr>
        <w:t xml:space="preserve"> </w:t>
      </w:r>
      <w:r w:rsidR="00855AC5">
        <w:rPr>
          <w:rFonts w:ascii="Times New Roman" w:hAnsi="Times New Roman" w:cs="Times New Roman"/>
          <w:sz w:val="24"/>
          <w:szCs w:val="24"/>
        </w:rPr>
        <w:t>число вынесено</w:t>
      </w:r>
      <w:r w:rsidR="00855AC5" w:rsidRPr="00DB2F48">
        <w:rPr>
          <w:rFonts w:ascii="Times New Roman" w:hAnsi="Times New Roman" w:cs="Times New Roman"/>
          <w:sz w:val="24"/>
          <w:szCs w:val="24"/>
        </w:rPr>
        <w:t xml:space="preserve"> территориальным</w:t>
      </w:r>
      <w:r w:rsidR="00A92E28">
        <w:rPr>
          <w:rFonts w:ascii="Times New Roman" w:hAnsi="Times New Roman" w:cs="Times New Roman"/>
          <w:sz w:val="24"/>
          <w:szCs w:val="24"/>
        </w:rPr>
        <w:t xml:space="preserve"> отделом, в том числе</w:t>
      </w:r>
      <w:r w:rsidR="00855AC5" w:rsidRPr="00DB2F48">
        <w:rPr>
          <w:rFonts w:ascii="Times New Roman" w:hAnsi="Times New Roman" w:cs="Times New Roman"/>
          <w:sz w:val="24"/>
          <w:szCs w:val="24"/>
        </w:rPr>
        <w:t xml:space="preserve"> поступившие из ОМВД и прокуратуры) постановлений о наложении административного наказания</w:t>
      </w:r>
      <w:r w:rsidR="00855AC5">
        <w:rPr>
          <w:rFonts w:ascii="Times New Roman" w:hAnsi="Times New Roman" w:cs="Times New Roman"/>
          <w:sz w:val="24"/>
          <w:szCs w:val="24"/>
        </w:rPr>
        <w:t xml:space="preserve"> – 334, что в том числе в виде штрафа 330, что составляет  99% от общего количества вынесенных постановлений.</w:t>
      </w:r>
      <w:proofErr w:type="gramEnd"/>
      <w:r w:rsidR="00855AC5">
        <w:rPr>
          <w:rFonts w:ascii="Times New Roman" w:hAnsi="Times New Roman" w:cs="Times New Roman"/>
          <w:sz w:val="24"/>
          <w:szCs w:val="24"/>
        </w:rPr>
        <w:t xml:space="preserve"> </w:t>
      </w:r>
      <w:r w:rsidR="00600E9C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613FAD">
        <w:rPr>
          <w:rFonts w:ascii="Times New Roman" w:hAnsi="Times New Roman" w:cs="Times New Roman"/>
          <w:sz w:val="24"/>
          <w:szCs w:val="24"/>
        </w:rPr>
        <w:t>число вынесено</w:t>
      </w:r>
      <w:r w:rsidR="00600E9C" w:rsidRPr="00DB2F48">
        <w:rPr>
          <w:rFonts w:ascii="Times New Roman" w:hAnsi="Times New Roman" w:cs="Times New Roman"/>
          <w:sz w:val="24"/>
          <w:szCs w:val="24"/>
        </w:rPr>
        <w:t xml:space="preserve"> территориальным отделом (учитываются протоколы, поступившие из ОМВД и прокуратуры) постановлений о наложении административного наказания</w:t>
      </w:r>
      <w:r w:rsidR="00600E9C">
        <w:rPr>
          <w:rFonts w:ascii="Times New Roman" w:hAnsi="Times New Roman" w:cs="Times New Roman"/>
          <w:sz w:val="24"/>
          <w:szCs w:val="24"/>
        </w:rPr>
        <w:t xml:space="preserve"> – 383, в том числе в виде штрафа 381,  что составляет 99,4% от общего числа вынесенных постановлений</w:t>
      </w:r>
      <w:r w:rsidR="00AE6419">
        <w:rPr>
          <w:rFonts w:ascii="Times New Roman" w:hAnsi="Times New Roman" w:cs="Times New Roman"/>
          <w:sz w:val="24"/>
          <w:szCs w:val="24"/>
        </w:rPr>
        <w:t xml:space="preserve">. </w:t>
      </w:r>
      <w:r w:rsidR="001618FF">
        <w:rPr>
          <w:rFonts w:ascii="Times New Roman" w:hAnsi="Times New Roman" w:cs="Times New Roman"/>
          <w:sz w:val="24"/>
          <w:szCs w:val="24"/>
        </w:rPr>
        <w:t xml:space="preserve">В сравнении с 2017 годом </w:t>
      </w:r>
      <w:r w:rsidR="001618FF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вынесенных постановлений уменьшилось на 36%  в связи с уменьшением количества возбужденных административных дел. </w:t>
      </w:r>
    </w:p>
    <w:p w:rsidR="00855AC5" w:rsidRDefault="00855AC5" w:rsidP="00C72BA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сравнении с 2016</w:t>
      </w:r>
      <w:r w:rsidR="00AE6419">
        <w:rPr>
          <w:rFonts w:ascii="Times New Roman" w:hAnsi="Times New Roman" w:cs="Times New Roman"/>
          <w:sz w:val="24"/>
          <w:szCs w:val="24"/>
        </w:rPr>
        <w:t xml:space="preserve"> годом, количество вынесенных постано</w:t>
      </w:r>
      <w:r w:rsidR="001618FF">
        <w:rPr>
          <w:rFonts w:ascii="Times New Roman" w:hAnsi="Times New Roman" w:cs="Times New Roman"/>
          <w:sz w:val="24"/>
          <w:szCs w:val="24"/>
        </w:rPr>
        <w:t>влений уменьшилось на 44</w:t>
      </w:r>
      <w:r w:rsidR="00AE6419">
        <w:rPr>
          <w:rFonts w:ascii="Times New Roman" w:hAnsi="Times New Roman" w:cs="Times New Roman"/>
          <w:sz w:val="24"/>
          <w:szCs w:val="24"/>
        </w:rPr>
        <w:t xml:space="preserve">% в связи с уменьшением количества возбужденных административных дел. </w:t>
      </w:r>
    </w:p>
    <w:p w:rsidR="007E20E0" w:rsidRPr="00DB2F48" w:rsidRDefault="007E20E0" w:rsidP="00DB2F48">
      <w:pPr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>Вынесено постановлений о назначении административного наказания в виде предупреждения</w:t>
      </w:r>
      <w:r w:rsidR="00855AC5">
        <w:rPr>
          <w:rFonts w:ascii="Times New Roman" w:hAnsi="Times New Roman" w:cs="Times New Roman"/>
          <w:sz w:val="24"/>
          <w:szCs w:val="24"/>
        </w:rPr>
        <w:t xml:space="preserve"> в </w:t>
      </w:r>
      <w:r w:rsidR="00D71639">
        <w:rPr>
          <w:rFonts w:ascii="Times New Roman" w:hAnsi="Times New Roman" w:cs="Times New Roman"/>
          <w:sz w:val="24"/>
          <w:szCs w:val="24"/>
        </w:rPr>
        <w:t xml:space="preserve">2018 году -7, что составляет 3,2% от общего количества вынесенных постановлений,  в </w:t>
      </w:r>
      <w:r w:rsidR="00855AC5">
        <w:rPr>
          <w:rFonts w:ascii="Times New Roman" w:hAnsi="Times New Roman" w:cs="Times New Roman"/>
          <w:sz w:val="24"/>
          <w:szCs w:val="24"/>
        </w:rPr>
        <w:t>2017 году - 4, что составляет 0,9% от общего количества вынесенных постановлений.  В</w:t>
      </w:r>
      <w:r w:rsidRPr="00DB2F48">
        <w:rPr>
          <w:rFonts w:ascii="Times New Roman" w:hAnsi="Times New Roman" w:cs="Times New Roman"/>
          <w:sz w:val="24"/>
          <w:szCs w:val="24"/>
        </w:rPr>
        <w:t xml:space="preserve"> </w:t>
      </w:r>
      <w:r w:rsidR="00600E9C">
        <w:rPr>
          <w:rFonts w:ascii="Times New Roman" w:hAnsi="Times New Roman" w:cs="Times New Roman"/>
          <w:sz w:val="24"/>
          <w:szCs w:val="24"/>
        </w:rPr>
        <w:t xml:space="preserve">2016 году </w:t>
      </w:r>
      <w:r w:rsidR="00D71639">
        <w:rPr>
          <w:rFonts w:ascii="Times New Roman" w:hAnsi="Times New Roman" w:cs="Times New Roman"/>
          <w:sz w:val="24"/>
          <w:szCs w:val="24"/>
        </w:rPr>
        <w:t>–</w:t>
      </w:r>
      <w:r w:rsidR="0060123A">
        <w:rPr>
          <w:rFonts w:ascii="Times New Roman" w:hAnsi="Times New Roman" w:cs="Times New Roman"/>
          <w:sz w:val="24"/>
          <w:szCs w:val="24"/>
        </w:rPr>
        <w:t xml:space="preserve"> </w:t>
      </w:r>
      <w:r w:rsidR="00600E9C">
        <w:rPr>
          <w:rFonts w:ascii="Times New Roman" w:hAnsi="Times New Roman" w:cs="Times New Roman"/>
          <w:sz w:val="24"/>
          <w:szCs w:val="24"/>
        </w:rPr>
        <w:t>2</w:t>
      </w:r>
      <w:r w:rsidR="00D71639">
        <w:rPr>
          <w:rFonts w:ascii="Times New Roman" w:hAnsi="Times New Roman" w:cs="Times New Roman"/>
          <w:sz w:val="24"/>
          <w:szCs w:val="24"/>
        </w:rPr>
        <w:t>,</w:t>
      </w:r>
      <w:r w:rsidR="00600E9C">
        <w:rPr>
          <w:rFonts w:ascii="Times New Roman" w:hAnsi="Times New Roman" w:cs="Times New Roman"/>
          <w:sz w:val="24"/>
          <w:szCs w:val="24"/>
        </w:rPr>
        <w:t xml:space="preserve"> что составляет 0,5 % от общего </w:t>
      </w:r>
      <w:r w:rsidR="00D71639">
        <w:rPr>
          <w:rFonts w:ascii="Times New Roman" w:hAnsi="Times New Roman" w:cs="Times New Roman"/>
          <w:sz w:val="24"/>
          <w:szCs w:val="24"/>
        </w:rPr>
        <w:t>числа вынесенных постановлений</w:t>
      </w:r>
      <w:proofErr w:type="gramStart"/>
      <w:r w:rsidR="00D7163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71639">
        <w:rPr>
          <w:rFonts w:ascii="Times New Roman" w:hAnsi="Times New Roman" w:cs="Times New Roman"/>
          <w:sz w:val="24"/>
          <w:szCs w:val="24"/>
        </w:rPr>
        <w:t xml:space="preserve"> </w:t>
      </w:r>
      <w:r w:rsidR="006A4DB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A4DB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A4DB0">
        <w:rPr>
          <w:rFonts w:ascii="Times New Roman" w:hAnsi="Times New Roman" w:cs="Times New Roman"/>
          <w:sz w:val="24"/>
          <w:szCs w:val="24"/>
        </w:rPr>
        <w:t>аблица №2)</w:t>
      </w:r>
    </w:p>
    <w:p w:rsidR="007E20E0" w:rsidRPr="006A4DB0" w:rsidRDefault="006147DC" w:rsidP="009571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 № 39</w:t>
      </w:r>
      <w:r w:rsidR="0095719F">
        <w:rPr>
          <w:rFonts w:ascii="Times New Roman" w:hAnsi="Times New Roman" w:cs="Times New Roman"/>
          <w:sz w:val="24"/>
          <w:szCs w:val="24"/>
        </w:rPr>
        <w:t xml:space="preserve"> Количество вынесенных постановлений по делу об административном правонарушении</w:t>
      </w:r>
    </w:p>
    <w:p w:rsidR="007E20E0" w:rsidRPr="007E20E0" w:rsidRDefault="007E20E0" w:rsidP="007E20E0">
      <w:r>
        <w:rPr>
          <w:noProof/>
          <w:lang w:eastAsia="ru-RU"/>
        </w:rPr>
        <w:drawing>
          <wp:inline distT="0" distB="0" distL="0" distR="0">
            <wp:extent cx="4448175" cy="2552700"/>
            <wp:effectExtent l="0" t="0" r="9525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20E0" w:rsidRPr="007E20E0" w:rsidRDefault="007E20E0" w:rsidP="007E20E0"/>
    <w:p w:rsidR="00094807" w:rsidRDefault="007E20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ТО УФС Роспотребнадзора в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B2F4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DB2F48">
        <w:rPr>
          <w:rFonts w:ascii="Times New Roman" w:hAnsi="Times New Roman" w:cs="Times New Roman"/>
          <w:sz w:val="24"/>
          <w:szCs w:val="24"/>
        </w:rPr>
        <w:t>ефтеюганске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 xml:space="preserve">, Нефтеюганском районе и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г.Пыть-Ях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 xml:space="preserve"> за период</w:t>
      </w:r>
      <w:r w:rsidR="00DC195E">
        <w:rPr>
          <w:rFonts w:ascii="Times New Roman" w:hAnsi="Times New Roman" w:cs="Times New Roman"/>
          <w:sz w:val="24"/>
          <w:szCs w:val="24"/>
        </w:rPr>
        <w:t xml:space="preserve"> </w:t>
      </w:r>
      <w:r w:rsidR="001E3D82">
        <w:rPr>
          <w:rFonts w:ascii="Times New Roman" w:hAnsi="Times New Roman" w:cs="Times New Roman"/>
          <w:sz w:val="24"/>
          <w:szCs w:val="24"/>
        </w:rPr>
        <w:t xml:space="preserve"> 2018 года направлено на рассмотрение в суд</w:t>
      </w:r>
      <w:r w:rsidR="00094807">
        <w:rPr>
          <w:rFonts w:ascii="Times New Roman" w:hAnsi="Times New Roman" w:cs="Times New Roman"/>
          <w:sz w:val="24"/>
          <w:szCs w:val="24"/>
        </w:rPr>
        <w:t xml:space="preserve"> всего</w:t>
      </w:r>
      <w:r w:rsidR="001E3D82">
        <w:rPr>
          <w:rFonts w:ascii="Times New Roman" w:hAnsi="Times New Roman" w:cs="Times New Roman"/>
          <w:sz w:val="24"/>
          <w:szCs w:val="24"/>
        </w:rPr>
        <w:t xml:space="preserve"> 40 дел об административном правонарушении, что практически одинаково в сравнении с 2017 годом, и на 37% больше, чем в 2016 году.</w:t>
      </w:r>
      <w:r w:rsidR="00094807">
        <w:rPr>
          <w:rFonts w:ascii="Times New Roman" w:hAnsi="Times New Roman" w:cs="Times New Roman"/>
          <w:sz w:val="24"/>
          <w:szCs w:val="24"/>
        </w:rPr>
        <w:t xml:space="preserve"> Из них 19 административных дел за совершение правонарушений на территории </w:t>
      </w:r>
      <w:proofErr w:type="spellStart"/>
      <w:r w:rsidR="0009480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9480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094807">
        <w:rPr>
          <w:rFonts w:ascii="Times New Roman" w:hAnsi="Times New Roman" w:cs="Times New Roman"/>
          <w:sz w:val="24"/>
          <w:szCs w:val="24"/>
        </w:rPr>
        <w:t>ефтеюганска</w:t>
      </w:r>
      <w:proofErr w:type="spellEnd"/>
      <w:r w:rsidR="000402E8">
        <w:rPr>
          <w:rFonts w:ascii="Times New Roman" w:hAnsi="Times New Roman" w:cs="Times New Roman"/>
          <w:sz w:val="24"/>
          <w:szCs w:val="24"/>
        </w:rPr>
        <w:t xml:space="preserve">.  Все 19 дел об административном правонарушении рассмотрены  судом общей юрисдикции. Судом вынесено 13 решений о назначении наказания в виде административного штрафа,  6 административных наказаний в виде </w:t>
      </w:r>
      <w:r w:rsidR="00C34AF2">
        <w:rPr>
          <w:rFonts w:ascii="Times New Roman" w:hAnsi="Times New Roman" w:cs="Times New Roman"/>
          <w:sz w:val="24"/>
          <w:szCs w:val="24"/>
        </w:rPr>
        <w:t>административного приостановления деятельности объектов торговли, общественного питания, производства пищевой продукции.</w:t>
      </w:r>
    </w:p>
    <w:p w:rsidR="00BE5A76" w:rsidRDefault="00DC195E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года направлено на рассмотрение в суд </w:t>
      </w:r>
      <w:r w:rsidR="000F3AE0">
        <w:rPr>
          <w:rFonts w:ascii="Times New Roman" w:hAnsi="Times New Roman" w:cs="Times New Roman"/>
          <w:sz w:val="24"/>
          <w:szCs w:val="24"/>
        </w:rPr>
        <w:t xml:space="preserve"> 41 административный материал, что на 39% больше, чем в 2016 году и на 15% больше, чем в 2015 году.  В</w:t>
      </w:r>
      <w:r w:rsidR="00D32E96">
        <w:rPr>
          <w:rFonts w:ascii="Times New Roman" w:hAnsi="Times New Roman" w:cs="Times New Roman"/>
          <w:sz w:val="24"/>
          <w:szCs w:val="24"/>
        </w:rPr>
        <w:t xml:space="preserve"> 2016 г. </w:t>
      </w:r>
      <w:r w:rsidR="00D32E96" w:rsidRPr="00DB2F48">
        <w:rPr>
          <w:rFonts w:ascii="Times New Roman" w:hAnsi="Times New Roman" w:cs="Times New Roman"/>
          <w:sz w:val="24"/>
          <w:szCs w:val="24"/>
        </w:rPr>
        <w:t xml:space="preserve"> напр</w:t>
      </w:r>
      <w:r w:rsidR="00BE5A76">
        <w:rPr>
          <w:rFonts w:ascii="Times New Roman" w:hAnsi="Times New Roman" w:cs="Times New Roman"/>
          <w:sz w:val="24"/>
          <w:szCs w:val="24"/>
        </w:rPr>
        <w:t xml:space="preserve">авлено на рассмотрение в суд  </w:t>
      </w:r>
      <w:r w:rsidR="00D32E96">
        <w:rPr>
          <w:rFonts w:ascii="Times New Roman" w:hAnsi="Times New Roman" w:cs="Times New Roman"/>
          <w:sz w:val="24"/>
          <w:szCs w:val="24"/>
        </w:rPr>
        <w:t>2</w:t>
      </w:r>
      <w:r w:rsidR="00D32E96" w:rsidRPr="00DB2F48">
        <w:rPr>
          <w:rFonts w:ascii="Times New Roman" w:hAnsi="Times New Roman" w:cs="Times New Roman"/>
          <w:sz w:val="24"/>
          <w:szCs w:val="24"/>
        </w:rPr>
        <w:t>5 административных материалов</w:t>
      </w:r>
      <w:r w:rsidR="00D32E96">
        <w:rPr>
          <w:rFonts w:ascii="Times New Roman" w:hAnsi="Times New Roman" w:cs="Times New Roman"/>
          <w:sz w:val="24"/>
          <w:szCs w:val="24"/>
        </w:rPr>
        <w:t>, что на 4% меньше, чем в 2015 году</w:t>
      </w:r>
      <w:r w:rsidR="00BE5A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3D82" w:rsidRDefault="001E3D82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судом принято </w:t>
      </w:r>
      <w:r w:rsidR="003B6F01">
        <w:rPr>
          <w:rFonts w:ascii="Times New Roman" w:hAnsi="Times New Roman" w:cs="Times New Roman"/>
          <w:sz w:val="24"/>
          <w:szCs w:val="24"/>
        </w:rPr>
        <w:t>36 решений о назначении административного наказания гражданам, должностным и юридическим лицам, а также индивидуальным предпринимателям, 4 дела об административном правонарушении прекращено в связи с отсутствием состава административного правонарушения. Вынесено 2 решения о назначении наказания в виде предупреждения.</w:t>
      </w:r>
    </w:p>
    <w:p w:rsidR="000F3AE0" w:rsidRDefault="00D32E96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E5A76">
        <w:rPr>
          <w:rFonts w:ascii="Times New Roman" w:hAnsi="Times New Roman" w:cs="Times New Roman"/>
          <w:sz w:val="24"/>
          <w:szCs w:val="24"/>
        </w:rPr>
        <w:t>месте с тем,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AE0">
        <w:rPr>
          <w:rFonts w:ascii="Times New Roman" w:hAnsi="Times New Roman" w:cs="Times New Roman"/>
          <w:sz w:val="24"/>
          <w:szCs w:val="24"/>
        </w:rPr>
        <w:t xml:space="preserve"> 2017 году судом принято 40 решений о назначении административного наказания гражданам, должностным и юридическим лицам, а также индивидуальным </w:t>
      </w:r>
      <w:r w:rsidR="000F3AE0">
        <w:rPr>
          <w:rFonts w:ascii="Times New Roman" w:hAnsi="Times New Roman" w:cs="Times New Roman"/>
          <w:sz w:val="24"/>
          <w:szCs w:val="24"/>
        </w:rPr>
        <w:lastRenderedPageBreak/>
        <w:t>предпринимателям, 1 дело об административном правонарушении прекращено в связи с отсутствием состава административного правонарушения.</w:t>
      </w:r>
    </w:p>
    <w:p w:rsidR="00BE5A76" w:rsidRDefault="000F3A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D32E96">
        <w:rPr>
          <w:rFonts w:ascii="Times New Roman" w:hAnsi="Times New Roman" w:cs="Times New Roman"/>
          <w:sz w:val="24"/>
          <w:szCs w:val="24"/>
        </w:rPr>
        <w:t xml:space="preserve">2016 году судом принято 25 решений о назначении административного наказания гражданам, должностным и юридическим лицам, а также индивидуальным </w:t>
      </w:r>
      <w:r w:rsidR="00BE5A76">
        <w:rPr>
          <w:rFonts w:ascii="Times New Roman" w:hAnsi="Times New Roman" w:cs="Times New Roman"/>
          <w:sz w:val="24"/>
          <w:szCs w:val="24"/>
        </w:rPr>
        <w:t>предпринимателям,  в том числе 1 наказание в виде предупреждения.</w:t>
      </w:r>
    </w:p>
    <w:p w:rsidR="003B6F01" w:rsidRDefault="00BE5A76" w:rsidP="003B6F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</w:t>
      </w:r>
      <w:r w:rsidRPr="00DB2F48">
        <w:rPr>
          <w:rFonts w:ascii="Times New Roman" w:hAnsi="Times New Roman" w:cs="Times New Roman"/>
          <w:sz w:val="24"/>
          <w:szCs w:val="24"/>
        </w:rPr>
        <w:t>Доля вынесенных решений по делу об административном правонарушении о привлечении к административной ответственности</w:t>
      </w:r>
      <w:r w:rsidR="000F3AE0">
        <w:rPr>
          <w:rFonts w:ascii="Times New Roman" w:hAnsi="Times New Roman" w:cs="Times New Roman"/>
          <w:sz w:val="24"/>
          <w:szCs w:val="24"/>
        </w:rPr>
        <w:t xml:space="preserve"> в</w:t>
      </w:r>
      <w:r w:rsidR="003B6F01">
        <w:rPr>
          <w:rFonts w:ascii="Times New Roman" w:hAnsi="Times New Roman" w:cs="Times New Roman"/>
          <w:sz w:val="24"/>
          <w:szCs w:val="24"/>
        </w:rPr>
        <w:t xml:space="preserve"> 2018 году составила  90% от всех переданных дел на рассмотрение</w:t>
      </w:r>
      <w:proofErr w:type="gramStart"/>
      <w:r w:rsidR="003B6F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6F01" w:rsidRPr="003B6F01">
        <w:rPr>
          <w:rFonts w:ascii="Times New Roman" w:hAnsi="Times New Roman" w:cs="Times New Roman"/>
          <w:sz w:val="24"/>
          <w:szCs w:val="24"/>
        </w:rPr>
        <w:t xml:space="preserve"> </w:t>
      </w:r>
      <w:r w:rsidR="003B6F0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B6F0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3B6F01">
        <w:rPr>
          <w:rFonts w:ascii="Times New Roman" w:hAnsi="Times New Roman" w:cs="Times New Roman"/>
          <w:sz w:val="24"/>
          <w:szCs w:val="24"/>
        </w:rPr>
        <w:t>а счет прекращенных судом дел об административных правонарушениях)</w:t>
      </w:r>
    </w:p>
    <w:p w:rsidR="003B6F01" w:rsidRDefault="003B6F01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2E96" w:rsidRDefault="000F3A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году составила 99%, </w:t>
      </w:r>
      <w:r w:rsidR="00BE5A76">
        <w:rPr>
          <w:rFonts w:ascii="Times New Roman" w:hAnsi="Times New Roman" w:cs="Times New Roman"/>
          <w:sz w:val="24"/>
          <w:szCs w:val="24"/>
        </w:rPr>
        <w:t xml:space="preserve"> в 2016 году</w:t>
      </w:r>
      <w:r w:rsidR="00BE5A76" w:rsidRPr="00DB2F48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="00BE5A76">
        <w:rPr>
          <w:rFonts w:ascii="Times New Roman" w:hAnsi="Times New Roman" w:cs="Times New Roman"/>
          <w:sz w:val="24"/>
          <w:szCs w:val="24"/>
        </w:rPr>
        <w:t xml:space="preserve"> 100%, в то время как в 2015 году доля  таких решений составила 88,6%, в 2014 году – 87% (за счет прекращенных судом дел об административных правонарушениях)</w:t>
      </w:r>
    </w:p>
    <w:p w:rsidR="00D21E85" w:rsidRDefault="004712A7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судом вынесено 2 решения решение </w:t>
      </w:r>
      <w:r w:rsidRPr="00DB2F48">
        <w:rPr>
          <w:rFonts w:ascii="Times New Roman" w:hAnsi="Times New Roman" w:cs="Times New Roman"/>
          <w:sz w:val="24"/>
          <w:szCs w:val="24"/>
        </w:rPr>
        <w:t>о наложении административного наказания в виде штрафа с конфискацией предметов правонарушения</w:t>
      </w:r>
      <w:r>
        <w:rPr>
          <w:rFonts w:ascii="Times New Roman" w:hAnsi="Times New Roman" w:cs="Times New Roman"/>
          <w:sz w:val="24"/>
          <w:szCs w:val="24"/>
        </w:rPr>
        <w:t xml:space="preserve"> (по ч.2 ст.15.12 КоАП РФ), что составляет 5% от общего числа вынесенных судом решений.</w:t>
      </w:r>
    </w:p>
    <w:p w:rsidR="000F3AE0" w:rsidRPr="00DB2F48" w:rsidRDefault="000F3A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 году судом вынесено 1 решение </w:t>
      </w:r>
      <w:r w:rsidRPr="00DB2F48">
        <w:rPr>
          <w:rFonts w:ascii="Times New Roman" w:hAnsi="Times New Roman" w:cs="Times New Roman"/>
          <w:sz w:val="24"/>
          <w:szCs w:val="24"/>
        </w:rPr>
        <w:t>о наложении административного наказания в виде штрафа с конфискацией предметов правонарушения</w:t>
      </w:r>
      <w:r>
        <w:rPr>
          <w:rFonts w:ascii="Times New Roman" w:hAnsi="Times New Roman" w:cs="Times New Roman"/>
          <w:sz w:val="24"/>
          <w:szCs w:val="24"/>
        </w:rPr>
        <w:t xml:space="preserve"> (по ч.2 ст.15.12 КоАП РФ), что составляет 3% от общего числа вынесенных судом решений.</w:t>
      </w:r>
    </w:p>
    <w:p w:rsidR="00BE5A76" w:rsidRPr="00DB2F48" w:rsidRDefault="00BE5A76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судом вынесено 2 решения</w:t>
      </w:r>
      <w:r w:rsidRPr="00DB2F48">
        <w:rPr>
          <w:rFonts w:ascii="Times New Roman" w:hAnsi="Times New Roman" w:cs="Times New Roman"/>
          <w:sz w:val="24"/>
          <w:szCs w:val="24"/>
        </w:rPr>
        <w:t xml:space="preserve"> о наложении административного наказания в виде штрафа с конфискацией предметов правонарушения</w:t>
      </w:r>
      <w:r>
        <w:rPr>
          <w:rFonts w:ascii="Times New Roman" w:hAnsi="Times New Roman" w:cs="Times New Roman"/>
          <w:sz w:val="24"/>
          <w:szCs w:val="24"/>
        </w:rPr>
        <w:t xml:space="preserve"> (по ч.2 ст.15.12, ч. 2.1. ст.14.16 КоАП РФ), что составляет 8</w:t>
      </w:r>
      <w:r w:rsidRPr="00DB2F48">
        <w:rPr>
          <w:rFonts w:ascii="Times New Roman" w:hAnsi="Times New Roman" w:cs="Times New Roman"/>
          <w:sz w:val="24"/>
          <w:szCs w:val="24"/>
        </w:rPr>
        <w:t>% от общего числа вынесенных судом решений.</w:t>
      </w:r>
    </w:p>
    <w:p w:rsidR="000F3AE0" w:rsidRDefault="007E20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>Данн</w:t>
      </w:r>
      <w:r w:rsidR="000F3AE0">
        <w:rPr>
          <w:rFonts w:ascii="Times New Roman" w:hAnsi="Times New Roman" w:cs="Times New Roman"/>
          <w:sz w:val="24"/>
          <w:szCs w:val="24"/>
        </w:rPr>
        <w:t>ый по</w:t>
      </w:r>
      <w:r w:rsidR="004712A7">
        <w:rPr>
          <w:rFonts w:ascii="Times New Roman" w:hAnsi="Times New Roman" w:cs="Times New Roman"/>
          <w:sz w:val="24"/>
          <w:szCs w:val="24"/>
        </w:rPr>
        <w:t>казатель в сравнении с 2016-2017</w:t>
      </w:r>
      <w:r w:rsidR="000F3AE0">
        <w:rPr>
          <w:rFonts w:ascii="Times New Roman" w:hAnsi="Times New Roman" w:cs="Times New Roman"/>
          <w:sz w:val="24"/>
          <w:szCs w:val="24"/>
        </w:rPr>
        <w:t xml:space="preserve"> годами</w:t>
      </w:r>
      <w:r w:rsidR="004712A7">
        <w:rPr>
          <w:rFonts w:ascii="Times New Roman" w:hAnsi="Times New Roman" w:cs="Times New Roman"/>
          <w:sz w:val="24"/>
          <w:szCs w:val="24"/>
        </w:rPr>
        <w:t xml:space="preserve"> практически не</w:t>
      </w:r>
      <w:r w:rsidRPr="00DB2F48">
        <w:rPr>
          <w:rFonts w:ascii="Times New Roman" w:hAnsi="Times New Roman" w:cs="Times New Roman"/>
          <w:sz w:val="24"/>
          <w:szCs w:val="24"/>
        </w:rPr>
        <w:t xml:space="preserve"> изменился. </w:t>
      </w:r>
    </w:p>
    <w:p w:rsidR="004712A7" w:rsidRDefault="004712A7" w:rsidP="004712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судом приостановлена деятельность 8 предприятий общественного питания, торговли, производства, что составляет 20% от общего числа материалов, направленных на рассмотрение в суд, и что на 37% больше, чем в 2017году</w:t>
      </w:r>
      <w:r w:rsidR="009A5808">
        <w:rPr>
          <w:rFonts w:ascii="Times New Roman" w:hAnsi="Times New Roman" w:cs="Times New Roman"/>
          <w:sz w:val="24"/>
          <w:szCs w:val="24"/>
        </w:rPr>
        <w:t>.</w:t>
      </w:r>
    </w:p>
    <w:p w:rsidR="000F3AE0" w:rsidRDefault="000F3A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 году судом приостановлена деятельность </w:t>
      </w:r>
      <w:r w:rsidR="00C3223B">
        <w:rPr>
          <w:rFonts w:ascii="Times New Roman" w:hAnsi="Times New Roman" w:cs="Times New Roman"/>
          <w:sz w:val="24"/>
          <w:szCs w:val="24"/>
        </w:rPr>
        <w:t>5 предприятий общественного питания, торговли, а также 1 промышленного транспортного предприятия (ООО ТЭК Север)</w:t>
      </w:r>
      <w:r w:rsidR="00C1681B">
        <w:rPr>
          <w:rFonts w:ascii="Times New Roman" w:hAnsi="Times New Roman" w:cs="Times New Roman"/>
          <w:sz w:val="24"/>
          <w:szCs w:val="24"/>
        </w:rPr>
        <w:t>, что составляет 12% от общего числа материалов, направленных на рассмотрение в суд, и что на 40% больше, чем в 2016году</w:t>
      </w:r>
    </w:p>
    <w:p w:rsidR="00BE5A76" w:rsidRPr="00DB2F48" w:rsidRDefault="00BE5A76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судом приостановлена деятельность 2-х</w:t>
      </w:r>
      <w:r w:rsidR="001658E1">
        <w:rPr>
          <w:rFonts w:ascii="Times New Roman" w:hAnsi="Times New Roman" w:cs="Times New Roman"/>
          <w:sz w:val="24"/>
          <w:szCs w:val="24"/>
        </w:rPr>
        <w:t xml:space="preserve"> предприятий (торговли, общественного питания), что составляет 8%</w:t>
      </w:r>
      <w:r w:rsidR="001658E1" w:rsidRPr="001658E1">
        <w:rPr>
          <w:rFonts w:ascii="Times New Roman" w:hAnsi="Times New Roman" w:cs="Times New Roman"/>
          <w:sz w:val="24"/>
          <w:szCs w:val="24"/>
        </w:rPr>
        <w:t xml:space="preserve"> </w:t>
      </w:r>
      <w:r w:rsidR="001658E1" w:rsidRPr="00DB2F48">
        <w:rPr>
          <w:rFonts w:ascii="Times New Roman" w:hAnsi="Times New Roman" w:cs="Times New Roman"/>
          <w:sz w:val="24"/>
          <w:szCs w:val="24"/>
        </w:rPr>
        <w:t>от общего числа материалов, направленных для принятия решения в суд.</w:t>
      </w:r>
    </w:p>
    <w:p w:rsidR="009A5808" w:rsidRDefault="00BA5AB2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наложенных административных штрафов в</w:t>
      </w:r>
      <w:r w:rsidR="008603EC">
        <w:rPr>
          <w:rFonts w:ascii="Times New Roman" w:hAnsi="Times New Roman" w:cs="Times New Roman"/>
          <w:sz w:val="24"/>
          <w:szCs w:val="24"/>
        </w:rPr>
        <w:t xml:space="preserve"> </w:t>
      </w:r>
      <w:r w:rsidR="009A5808">
        <w:rPr>
          <w:rFonts w:ascii="Times New Roman" w:hAnsi="Times New Roman" w:cs="Times New Roman"/>
          <w:sz w:val="24"/>
          <w:szCs w:val="24"/>
        </w:rPr>
        <w:t xml:space="preserve">2018 году составила </w:t>
      </w:r>
      <w:r w:rsidR="00883960">
        <w:rPr>
          <w:rFonts w:ascii="Times New Roman" w:hAnsi="Times New Roman" w:cs="Times New Roman"/>
          <w:sz w:val="24"/>
          <w:szCs w:val="24"/>
        </w:rPr>
        <w:t>3070,2 млн. рублей, что на 14% меньше, чем в 2017 году. Уменьшение суммы наложенных штрафов произошло вследствие уменьшения общего количества вынесенных постановлений о назначении наказания в виде штрафа и увеличения наложения административных наказаний в виде предупреждения.</w:t>
      </w:r>
    </w:p>
    <w:p w:rsidR="007E20E0" w:rsidRDefault="008603E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году </w:t>
      </w:r>
      <w:r w:rsidR="008660AF">
        <w:rPr>
          <w:rFonts w:ascii="Times New Roman" w:hAnsi="Times New Roman" w:cs="Times New Roman"/>
          <w:sz w:val="24"/>
          <w:szCs w:val="24"/>
        </w:rPr>
        <w:t xml:space="preserve"> составила 3596,0</w:t>
      </w:r>
      <w:r w:rsidR="00C252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25254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C25254">
        <w:rPr>
          <w:rFonts w:ascii="Times New Roman" w:hAnsi="Times New Roman" w:cs="Times New Roman"/>
          <w:sz w:val="24"/>
          <w:szCs w:val="24"/>
        </w:rPr>
        <w:t>,</w:t>
      </w:r>
      <w:r w:rsidR="00AC1EF9">
        <w:rPr>
          <w:rFonts w:ascii="Times New Roman" w:hAnsi="Times New Roman" w:cs="Times New Roman"/>
          <w:sz w:val="24"/>
          <w:szCs w:val="24"/>
        </w:rPr>
        <w:t xml:space="preserve"> что на 28% меньше</w:t>
      </w:r>
      <w:r w:rsidR="00DD543E">
        <w:rPr>
          <w:rFonts w:ascii="Times New Roman" w:hAnsi="Times New Roman" w:cs="Times New Roman"/>
          <w:sz w:val="24"/>
          <w:szCs w:val="24"/>
        </w:rPr>
        <w:t>, чем в 2016году. В</w:t>
      </w:r>
      <w:r w:rsidR="00C25254">
        <w:rPr>
          <w:rFonts w:ascii="Times New Roman" w:hAnsi="Times New Roman" w:cs="Times New Roman"/>
          <w:sz w:val="24"/>
          <w:szCs w:val="24"/>
        </w:rPr>
        <w:t xml:space="preserve"> </w:t>
      </w:r>
      <w:r w:rsidR="00BA5AB2">
        <w:rPr>
          <w:rFonts w:ascii="Times New Roman" w:hAnsi="Times New Roman" w:cs="Times New Roman"/>
          <w:sz w:val="24"/>
          <w:szCs w:val="24"/>
        </w:rPr>
        <w:t xml:space="preserve"> 2016 году</w:t>
      </w:r>
      <w:r w:rsidR="00DD543E">
        <w:rPr>
          <w:rFonts w:ascii="Times New Roman" w:hAnsi="Times New Roman" w:cs="Times New Roman"/>
          <w:sz w:val="24"/>
          <w:szCs w:val="24"/>
        </w:rPr>
        <w:t xml:space="preserve"> сумма наложенных штрафов </w:t>
      </w:r>
      <w:r w:rsidR="00BA5AB2">
        <w:rPr>
          <w:rFonts w:ascii="Times New Roman" w:hAnsi="Times New Roman" w:cs="Times New Roman"/>
          <w:sz w:val="24"/>
          <w:szCs w:val="24"/>
        </w:rPr>
        <w:t xml:space="preserve"> увеличилась</w:t>
      </w:r>
      <w:r w:rsidR="00B51AD6">
        <w:rPr>
          <w:rFonts w:ascii="Times New Roman" w:hAnsi="Times New Roman" w:cs="Times New Roman"/>
          <w:sz w:val="24"/>
          <w:szCs w:val="24"/>
        </w:rPr>
        <w:t xml:space="preserve"> на 28% в сравнении с 2015 годом</w:t>
      </w:r>
      <w:r w:rsidR="00BA5AB2">
        <w:rPr>
          <w:rFonts w:ascii="Times New Roman" w:hAnsi="Times New Roman" w:cs="Times New Roman"/>
          <w:sz w:val="24"/>
          <w:szCs w:val="24"/>
        </w:rPr>
        <w:t>,</w:t>
      </w:r>
      <w:r w:rsidR="00B51AD6">
        <w:rPr>
          <w:rFonts w:ascii="Times New Roman" w:hAnsi="Times New Roman" w:cs="Times New Roman"/>
          <w:sz w:val="24"/>
          <w:szCs w:val="24"/>
        </w:rPr>
        <w:t xml:space="preserve"> на 19,7% в сравнении с 2014 годом и </w:t>
      </w:r>
      <w:r w:rsidR="00BA5AB2">
        <w:rPr>
          <w:rFonts w:ascii="Times New Roman" w:hAnsi="Times New Roman" w:cs="Times New Roman"/>
          <w:sz w:val="24"/>
          <w:szCs w:val="24"/>
        </w:rPr>
        <w:t xml:space="preserve"> составляет 4967,6 рублей, что значительно больше, </w:t>
      </w:r>
      <w:r w:rsidR="00F7652E">
        <w:rPr>
          <w:rFonts w:ascii="Times New Roman" w:hAnsi="Times New Roman" w:cs="Times New Roman"/>
          <w:sz w:val="24"/>
          <w:szCs w:val="24"/>
        </w:rPr>
        <w:t>ч</w:t>
      </w:r>
      <w:r w:rsidR="00BA5AB2">
        <w:rPr>
          <w:rFonts w:ascii="Times New Roman" w:hAnsi="Times New Roman" w:cs="Times New Roman"/>
          <w:sz w:val="24"/>
          <w:szCs w:val="24"/>
        </w:rPr>
        <w:t xml:space="preserve">ем </w:t>
      </w:r>
      <w:proofErr w:type="gramStart"/>
      <w:r w:rsidR="00F765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7652E">
        <w:rPr>
          <w:rFonts w:ascii="Times New Roman" w:hAnsi="Times New Roman" w:cs="Times New Roman"/>
          <w:sz w:val="24"/>
          <w:szCs w:val="24"/>
        </w:rPr>
        <w:t xml:space="preserve"> 2014-2015 </w:t>
      </w:r>
      <w:proofErr w:type="spellStart"/>
      <w:r w:rsidR="00F7652E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F7652E">
        <w:rPr>
          <w:rFonts w:ascii="Times New Roman" w:hAnsi="Times New Roman" w:cs="Times New Roman"/>
          <w:sz w:val="24"/>
          <w:szCs w:val="24"/>
        </w:rPr>
        <w:t xml:space="preserve">. </w:t>
      </w:r>
      <w:r w:rsidR="00883960">
        <w:rPr>
          <w:rFonts w:ascii="Times New Roman" w:hAnsi="Times New Roman" w:cs="Times New Roman"/>
          <w:sz w:val="24"/>
          <w:szCs w:val="24"/>
        </w:rPr>
        <w:t xml:space="preserve"> </w:t>
      </w:r>
      <w:r w:rsidR="006A4DB0">
        <w:rPr>
          <w:rFonts w:ascii="Times New Roman" w:hAnsi="Times New Roman" w:cs="Times New Roman"/>
          <w:sz w:val="24"/>
          <w:szCs w:val="24"/>
        </w:rPr>
        <w:t>(таблица №3)</w:t>
      </w:r>
    </w:p>
    <w:p w:rsidR="006147DC" w:rsidRDefault="006147DC" w:rsidP="007E20E0">
      <w:pPr>
        <w:rPr>
          <w:rFonts w:ascii="Times New Roman" w:hAnsi="Times New Roman" w:cs="Times New Roman"/>
          <w:sz w:val="24"/>
          <w:szCs w:val="24"/>
        </w:rPr>
      </w:pPr>
    </w:p>
    <w:p w:rsidR="007E20E0" w:rsidRPr="006A4DB0" w:rsidRDefault="006147DC" w:rsidP="007E2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Рисунок  № 40</w:t>
      </w:r>
      <w:r w:rsidR="00883960">
        <w:rPr>
          <w:rFonts w:ascii="Times New Roman" w:hAnsi="Times New Roman" w:cs="Times New Roman"/>
          <w:sz w:val="24"/>
          <w:szCs w:val="24"/>
        </w:rPr>
        <w:t xml:space="preserve"> Сумма наложенного штрафа</w:t>
      </w:r>
    </w:p>
    <w:p w:rsidR="007E20E0" w:rsidRPr="007E20E0" w:rsidRDefault="007E20E0" w:rsidP="007E20E0">
      <w:r w:rsidRPr="007E20E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E7B66A7" wp14:editId="6F1DE3A4">
            <wp:simplePos x="0" y="0"/>
            <wp:positionH relativeFrom="column">
              <wp:posOffset>1626235</wp:posOffset>
            </wp:positionH>
            <wp:positionV relativeFrom="paragraph">
              <wp:posOffset>46990</wp:posOffset>
            </wp:positionV>
            <wp:extent cx="3153410" cy="1809115"/>
            <wp:effectExtent l="0" t="0" r="1905" b="1905"/>
            <wp:wrapSquare wrapText="right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DE8" w:rsidRDefault="007E20E0" w:rsidP="006F0773">
      <w:pPr>
        <w:jc w:val="both"/>
        <w:rPr>
          <w:noProof/>
          <w:lang w:eastAsia="ru-RU"/>
        </w:rPr>
      </w:pPr>
      <w:r w:rsidRPr="007E20E0">
        <w:t xml:space="preserve">                                                                         </w:t>
      </w:r>
    </w:p>
    <w:p w:rsidR="00172DE8" w:rsidRDefault="00172DE8" w:rsidP="006F0773">
      <w:pPr>
        <w:jc w:val="both"/>
        <w:rPr>
          <w:noProof/>
          <w:lang w:eastAsia="ru-RU"/>
        </w:rPr>
      </w:pPr>
    </w:p>
    <w:p w:rsidR="00172DE8" w:rsidRDefault="00172DE8" w:rsidP="006F0773">
      <w:pPr>
        <w:jc w:val="both"/>
        <w:rPr>
          <w:noProof/>
          <w:lang w:eastAsia="ru-RU"/>
        </w:rPr>
      </w:pPr>
    </w:p>
    <w:p w:rsidR="00172DE8" w:rsidRDefault="00172DE8" w:rsidP="006F0773">
      <w:pPr>
        <w:jc w:val="both"/>
        <w:rPr>
          <w:noProof/>
          <w:lang w:eastAsia="ru-RU"/>
        </w:rPr>
      </w:pPr>
    </w:p>
    <w:p w:rsidR="00172DE8" w:rsidRDefault="00172DE8" w:rsidP="006F0773">
      <w:pPr>
        <w:jc w:val="both"/>
        <w:rPr>
          <w:noProof/>
          <w:lang w:eastAsia="ru-RU"/>
        </w:rPr>
      </w:pPr>
    </w:p>
    <w:p w:rsidR="007E20E0" w:rsidRPr="006F0773" w:rsidRDefault="00577FA8" w:rsidP="006F0773">
      <w:pPr>
        <w:jc w:val="both"/>
      </w:pPr>
      <w:r>
        <w:rPr>
          <w:rFonts w:ascii="Times New Roman" w:hAnsi="Times New Roman" w:cs="Times New Roman"/>
          <w:sz w:val="24"/>
          <w:szCs w:val="24"/>
        </w:rPr>
        <w:t>Уменьшение</w:t>
      </w:r>
      <w:r w:rsidR="006F0773">
        <w:rPr>
          <w:rFonts w:ascii="Times New Roman" w:hAnsi="Times New Roman" w:cs="Times New Roman"/>
          <w:sz w:val="24"/>
          <w:szCs w:val="24"/>
        </w:rPr>
        <w:t xml:space="preserve"> сумм штрафов в 2018</w:t>
      </w:r>
      <w:r w:rsidR="00F7652E" w:rsidRPr="00D44186">
        <w:rPr>
          <w:rFonts w:ascii="Times New Roman" w:hAnsi="Times New Roman" w:cs="Times New Roman"/>
          <w:sz w:val="24"/>
          <w:szCs w:val="24"/>
        </w:rPr>
        <w:t xml:space="preserve"> году произошло за счет </w:t>
      </w:r>
      <w:r>
        <w:rPr>
          <w:rFonts w:ascii="Times New Roman" w:hAnsi="Times New Roman" w:cs="Times New Roman"/>
          <w:sz w:val="24"/>
          <w:szCs w:val="24"/>
        </w:rPr>
        <w:t xml:space="preserve"> уменьшения</w:t>
      </w:r>
      <w:r w:rsidR="00DD54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количества </w:t>
      </w:r>
      <w:r w:rsidR="00D44186" w:rsidRPr="00D44186">
        <w:rPr>
          <w:rFonts w:ascii="Times New Roman" w:hAnsi="Times New Roman" w:cs="Times New Roman"/>
          <w:sz w:val="24"/>
          <w:szCs w:val="24"/>
        </w:rPr>
        <w:t>возбужденных дел в отношении юридических</w:t>
      </w:r>
      <w:r w:rsidR="00DD543E">
        <w:rPr>
          <w:rFonts w:ascii="Times New Roman" w:hAnsi="Times New Roman" w:cs="Times New Roman"/>
          <w:sz w:val="24"/>
          <w:szCs w:val="24"/>
        </w:rPr>
        <w:t>, должностных</w:t>
      </w:r>
      <w:r w:rsidR="00D44186" w:rsidRPr="00D44186">
        <w:rPr>
          <w:rFonts w:ascii="Times New Roman" w:hAnsi="Times New Roman" w:cs="Times New Roman"/>
          <w:sz w:val="24"/>
          <w:szCs w:val="24"/>
        </w:rPr>
        <w:t xml:space="preserve"> лиц в соответствии с Кодексом об административ</w:t>
      </w:r>
      <w:r w:rsidR="00DD543E">
        <w:rPr>
          <w:rFonts w:ascii="Times New Roman" w:hAnsi="Times New Roman" w:cs="Times New Roman"/>
          <w:sz w:val="24"/>
          <w:szCs w:val="24"/>
        </w:rPr>
        <w:t>ных правонарушениях Российской Ф</w:t>
      </w:r>
      <w:r w:rsidR="006F0773">
        <w:rPr>
          <w:rFonts w:ascii="Times New Roman" w:hAnsi="Times New Roman" w:cs="Times New Roman"/>
          <w:sz w:val="24"/>
          <w:szCs w:val="24"/>
        </w:rPr>
        <w:t>едерации и увеличения количества вынесенных постановлений  о назначении наказания в виде предупреждения.</w:t>
      </w:r>
      <w:r w:rsidR="007E20E0" w:rsidRPr="007E20E0">
        <w:t xml:space="preserve">     </w:t>
      </w:r>
    </w:p>
    <w:p w:rsidR="0041421A" w:rsidRDefault="009D36F4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процент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41421A">
        <w:rPr>
          <w:rFonts w:ascii="Times New Roman" w:hAnsi="Times New Roman" w:cs="Times New Roman"/>
          <w:sz w:val="24"/>
          <w:szCs w:val="24"/>
        </w:rPr>
        <w:t xml:space="preserve">80%, что на 17% меньше, чем в 2017 году. </w:t>
      </w:r>
      <w:r w:rsidR="00DD543E">
        <w:rPr>
          <w:rFonts w:ascii="Times New Roman" w:hAnsi="Times New Roman" w:cs="Times New Roman"/>
          <w:sz w:val="24"/>
          <w:szCs w:val="24"/>
        </w:rPr>
        <w:t xml:space="preserve">В 2017 году процент </w:t>
      </w:r>
      <w:proofErr w:type="spellStart"/>
      <w:r w:rsidR="00DD543E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="00DD543E">
        <w:rPr>
          <w:rFonts w:ascii="Times New Roman" w:hAnsi="Times New Roman" w:cs="Times New Roman"/>
          <w:sz w:val="24"/>
          <w:szCs w:val="24"/>
        </w:rPr>
        <w:t xml:space="preserve"> составил 97%, что на 9% больше, чем в 2016 году,  и на 7%  чем в 2015 году. </w:t>
      </w:r>
      <w:r w:rsidR="00055EE1">
        <w:rPr>
          <w:rFonts w:ascii="Times New Roman" w:hAnsi="Times New Roman" w:cs="Times New Roman"/>
          <w:sz w:val="24"/>
          <w:szCs w:val="24"/>
        </w:rPr>
        <w:t xml:space="preserve">В 2016 году процент </w:t>
      </w:r>
      <w:proofErr w:type="spellStart"/>
      <w:r w:rsidR="00055EE1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="00055EE1">
        <w:rPr>
          <w:rFonts w:ascii="Times New Roman" w:hAnsi="Times New Roman" w:cs="Times New Roman"/>
          <w:sz w:val="24"/>
          <w:szCs w:val="24"/>
        </w:rPr>
        <w:t xml:space="preserve"> штрафов составил </w:t>
      </w:r>
      <w:r w:rsidR="00237737">
        <w:rPr>
          <w:rFonts w:ascii="Times New Roman" w:hAnsi="Times New Roman" w:cs="Times New Roman"/>
          <w:sz w:val="24"/>
          <w:szCs w:val="24"/>
        </w:rPr>
        <w:t xml:space="preserve">88%. </w:t>
      </w:r>
      <w:r w:rsidR="00792B9F">
        <w:rPr>
          <w:rFonts w:ascii="Times New Roman" w:hAnsi="Times New Roman" w:cs="Times New Roman"/>
          <w:sz w:val="24"/>
          <w:szCs w:val="24"/>
        </w:rPr>
        <w:t xml:space="preserve">В 2015 году процент </w:t>
      </w:r>
      <w:proofErr w:type="spellStart"/>
      <w:r w:rsidR="00792B9F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="00055EE1">
        <w:rPr>
          <w:rFonts w:ascii="Times New Roman" w:hAnsi="Times New Roman" w:cs="Times New Roman"/>
          <w:sz w:val="24"/>
          <w:szCs w:val="24"/>
        </w:rPr>
        <w:t xml:space="preserve"> штрафов</w:t>
      </w:r>
      <w:r w:rsidR="00792B9F">
        <w:rPr>
          <w:rFonts w:ascii="Times New Roman" w:hAnsi="Times New Roman" w:cs="Times New Roman"/>
          <w:sz w:val="24"/>
          <w:szCs w:val="24"/>
        </w:rPr>
        <w:t xml:space="preserve"> составил 90% от наложенных штрафов</w:t>
      </w:r>
      <w:r w:rsidR="009257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20E0" w:rsidRPr="00ED3261" w:rsidRDefault="00DD543E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о объективным причинам процент </w:t>
      </w:r>
      <w:proofErr w:type="spellStart"/>
      <w:r w:rsidR="007E20E0" w:rsidRPr="00ED3261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="007E20E0" w:rsidRPr="00ED3261">
        <w:rPr>
          <w:rFonts w:ascii="Times New Roman" w:hAnsi="Times New Roman" w:cs="Times New Roman"/>
          <w:sz w:val="24"/>
          <w:szCs w:val="24"/>
        </w:rPr>
        <w:t xml:space="preserve"> штрафов не составляет 100%, </w:t>
      </w:r>
      <w:r w:rsidR="0041421A">
        <w:rPr>
          <w:rFonts w:ascii="Times New Roman" w:hAnsi="Times New Roman" w:cs="Times New Roman"/>
          <w:sz w:val="24"/>
          <w:szCs w:val="24"/>
        </w:rPr>
        <w:t xml:space="preserve">вследствие отмены 5 постановлений по делу об административном правонарушении на сумму 621000 </w:t>
      </w:r>
      <w:proofErr w:type="gramStart"/>
      <w:r w:rsidR="0041421A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="0041421A">
        <w:rPr>
          <w:rFonts w:ascii="Times New Roman" w:hAnsi="Times New Roman" w:cs="Times New Roman"/>
          <w:sz w:val="24"/>
          <w:szCs w:val="24"/>
        </w:rPr>
        <w:t xml:space="preserve"> а так же 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в связи с тем, что в декабре месяце были проведены </w:t>
      </w:r>
      <w:r w:rsidR="00792B9F">
        <w:rPr>
          <w:rFonts w:ascii="Times New Roman" w:hAnsi="Times New Roman" w:cs="Times New Roman"/>
          <w:sz w:val="24"/>
          <w:szCs w:val="24"/>
        </w:rPr>
        <w:t xml:space="preserve">плановые проверки, </w:t>
      </w:r>
      <w:r w:rsidR="007E20E0" w:rsidRPr="00ED3261">
        <w:rPr>
          <w:rFonts w:ascii="Times New Roman" w:hAnsi="Times New Roman" w:cs="Times New Roman"/>
          <w:sz w:val="24"/>
          <w:szCs w:val="24"/>
        </w:rPr>
        <w:t>проверки (рейды по заданию ФС) по подготовке к Новому году и по заданию прокуратуры.</w:t>
      </w:r>
      <w:r w:rsidR="00925731">
        <w:rPr>
          <w:rFonts w:ascii="Times New Roman" w:hAnsi="Times New Roman" w:cs="Times New Roman"/>
          <w:sz w:val="24"/>
          <w:szCs w:val="24"/>
        </w:rPr>
        <w:t xml:space="preserve"> В декабре месяце были вынесены постановления по делу об административном правонарушении по материалам, поступившим из ОМВД. Добровольный срок уплаты составляет 60 дней. Таким образом,  по наложенным в декабре штрафам срок уплаты штрафов не истек.</w:t>
      </w:r>
      <w:r w:rsidR="007314EB">
        <w:rPr>
          <w:rFonts w:ascii="Times New Roman" w:hAnsi="Times New Roman" w:cs="Times New Roman"/>
          <w:sz w:val="24"/>
          <w:szCs w:val="24"/>
        </w:rPr>
        <w:t xml:space="preserve"> </w:t>
      </w:r>
      <w:r w:rsidR="007E20E0" w:rsidRPr="00ED3261">
        <w:rPr>
          <w:rFonts w:ascii="Times New Roman" w:hAnsi="Times New Roman" w:cs="Times New Roman"/>
          <w:sz w:val="24"/>
          <w:szCs w:val="24"/>
        </w:rPr>
        <w:t>Сроки по уплате штрафов, наложенных до</w:t>
      </w:r>
      <w:r w:rsidR="0041421A">
        <w:rPr>
          <w:rFonts w:ascii="Times New Roman" w:hAnsi="Times New Roman" w:cs="Times New Roman"/>
          <w:sz w:val="24"/>
          <w:szCs w:val="24"/>
        </w:rPr>
        <w:t>лжностными лицами в декабре 2018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года согласно требованиям закона, на момент составления годовых отчетов, еще не наступили. Однако сумма наложенны</w:t>
      </w:r>
      <w:r w:rsidR="003C4E34" w:rsidRPr="00ED3261">
        <w:rPr>
          <w:rFonts w:ascii="Times New Roman" w:hAnsi="Times New Roman" w:cs="Times New Roman"/>
          <w:sz w:val="24"/>
          <w:szCs w:val="24"/>
        </w:rPr>
        <w:t>х этих штрафов по о</w:t>
      </w:r>
      <w:r w:rsidR="0041421A">
        <w:rPr>
          <w:rFonts w:ascii="Times New Roman" w:hAnsi="Times New Roman" w:cs="Times New Roman"/>
          <w:sz w:val="24"/>
          <w:szCs w:val="24"/>
        </w:rPr>
        <w:t>тчету за 2018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год уже прошла, поэтому взысканные суммы от этих штра</w:t>
      </w:r>
      <w:r w:rsidR="0041421A">
        <w:rPr>
          <w:rFonts w:ascii="Times New Roman" w:hAnsi="Times New Roman" w:cs="Times New Roman"/>
          <w:sz w:val="24"/>
          <w:szCs w:val="24"/>
        </w:rPr>
        <w:t>фов будут уже учитываться в 2019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127D0D" w:rsidRDefault="003C4E34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 w:rsidRPr="00ED3261">
        <w:rPr>
          <w:rFonts w:ascii="Times New Roman" w:hAnsi="Times New Roman" w:cs="Times New Roman"/>
          <w:sz w:val="24"/>
          <w:szCs w:val="24"/>
        </w:rPr>
        <w:t>Количество используемых статей КоАП РФ при проведении контрольно-надзорных мероприятий</w:t>
      </w:r>
      <w:r w:rsidR="00A1313A" w:rsidRPr="00ED3261">
        <w:rPr>
          <w:rFonts w:ascii="Times New Roman" w:hAnsi="Times New Roman" w:cs="Times New Roman"/>
          <w:sz w:val="24"/>
          <w:szCs w:val="24"/>
        </w:rPr>
        <w:t xml:space="preserve">, а также при проведении административных расследований </w:t>
      </w:r>
      <w:r w:rsidRPr="00ED3261">
        <w:rPr>
          <w:rFonts w:ascii="Times New Roman" w:hAnsi="Times New Roman" w:cs="Times New Roman"/>
          <w:sz w:val="24"/>
          <w:szCs w:val="24"/>
        </w:rPr>
        <w:t xml:space="preserve"> в</w:t>
      </w:r>
      <w:r w:rsidR="00925731">
        <w:rPr>
          <w:rFonts w:ascii="Times New Roman" w:hAnsi="Times New Roman" w:cs="Times New Roman"/>
          <w:sz w:val="24"/>
          <w:szCs w:val="24"/>
        </w:rPr>
        <w:t xml:space="preserve"> </w:t>
      </w:r>
      <w:r w:rsidR="00DD543E">
        <w:rPr>
          <w:rFonts w:ascii="Times New Roman" w:hAnsi="Times New Roman" w:cs="Times New Roman"/>
          <w:sz w:val="24"/>
          <w:szCs w:val="24"/>
        </w:rPr>
        <w:t xml:space="preserve"> </w:t>
      </w:r>
      <w:r w:rsidR="00127D0D">
        <w:rPr>
          <w:rFonts w:ascii="Times New Roman" w:hAnsi="Times New Roman" w:cs="Times New Roman"/>
          <w:sz w:val="24"/>
          <w:szCs w:val="24"/>
        </w:rPr>
        <w:t xml:space="preserve">2018 году уменьшилось и составляет </w:t>
      </w:r>
      <w:r w:rsidR="008812EB">
        <w:rPr>
          <w:rFonts w:ascii="Times New Roman" w:hAnsi="Times New Roman" w:cs="Times New Roman"/>
          <w:sz w:val="24"/>
          <w:szCs w:val="24"/>
        </w:rPr>
        <w:t>32 состава, что на 25% меньше, чем в 2017 году.</w:t>
      </w:r>
    </w:p>
    <w:p w:rsidR="003C4E34" w:rsidRPr="00ED3261" w:rsidRDefault="008812EB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2017году количество применимых статей КоАП составляло</w:t>
      </w:r>
      <w:r w:rsidR="00DD543E">
        <w:rPr>
          <w:rFonts w:ascii="Times New Roman" w:hAnsi="Times New Roman" w:cs="Times New Roman"/>
          <w:sz w:val="24"/>
          <w:szCs w:val="24"/>
        </w:rPr>
        <w:t xml:space="preserve"> </w:t>
      </w:r>
      <w:r w:rsidR="0094376D">
        <w:rPr>
          <w:rFonts w:ascii="Times New Roman" w:hAnsi="Times New Roman" w:cs="Times New Roman"/>
          <w:sz w:val="24"/>
          <w:szCs w:val="24"/>
        </w:rPr>
        <w:t xml:space="preserve">43 состава. В </w:t>
      </w:r>
      <w:r w:rsidR="00925731">
        <w:rPr>
          <w:rFonts w:ascii="Times New Roman" w:hAnsi="Times New Roman" w:cs="Times New Roman"/>
          <w:sz w:val="24"/>
          <w:szCs w:val="24"/>
        </w:rPr>
        <w:t>2016-</w:t>
      </w:r>
      <w:r w:rsidR="003C4E34" w:rsidRPr="00ED3261">
        <w:rPr>
          <w:rFonts w:ascii="Times New Roman" w:hAnsi="Times New Roman" w:cs="Times New Roman"/>
          <w:sz w:val="24"/>
          <w:szCs w:val="24"/>
        </w:rPr>
        <w:t xml:space="preserve"> 2015 </w:t>
      </w:r>
      <w:r w:rsidR="00925731">
        <w:rPr>
          <w:rFonts w:ascii="Times New Roman" w:hAnsi="Times New Roman" w:cs="Times New Roman"/>
          <w:sz w:val="24"/>
          <w:szCs w:val="24"/>
        </w:rPr>
        <w:t xml:space="preserve">г. </w:t>
      </w:r>
      <w:r w:rsidR="0094376D">
        <w:rPr>
          <w:rFonts w:ascii="Times New Roman" w:hAnsi="Times New Roman" w:cs="Times New Roman"/>
          <w:sz w:val="24"/>
          <w:szCs w:val="24"/>
        </w:rPr>
        <w:t xml:space="preserve"> количество составов </w:t>
      </w:r>
      <w:r w:rsidR="00925731">
        <w:rPr>
          <w:rFonts w:ascii="Times New Roman" w:hAnsi="Times New Roman" w:cs="Times New Roman"/>
          <w:sz w:val="24"/>
          <w:szCs w:val="24"/>
        </w:rPr>
        <w:t>одинаково, вместе с тем</w:t>
      </w:r>
      <w:r w:rsidR="003C4E34" w:rsidRPr="00ED3261">
        <w:rPr>
          <w:rFonts w:ascii="Times New Roman" w:hAnsi="Times New Roman" w:cs="Times New Roman"/>
          <w:sz w:val="24"/>
          <w:szCs w:val="24"/>
        </w:rPr>
        <w:t xml:space="preserve">  увеличилось</w:t>
      </w:r>
      <w:r w:rsidR="00A1313A" w:rsidRPr="00ED3261">
        <w:rPr>
          <w:rFonts w:ascii="Times New Roman" w:hAnsi="Times New Roman" w:cs="Times New Roman"/>
          <w:sz w:val="24"/>
          <w:szCs w:val="24"/>
        </w:rPr>
        <w:t xml:space="preserve"> в сравнении с 2014 годом</w:t>
      </w:r>
      <w:r w:rsidR="003C4E34" w:rsidRPr="00ED3261">
        <w:rPr>
          <w:rFonts w:ascii="Times New Roman" w:hAnsi="Times New Roman" w:cs="Times New Roman"/>
          <w:sz w:val="24"/>
          <w:szCs w:val="24"/>
        </w:rPr>
        <w:t xml:space="preserve"> на </w:t>
      </w:r>
      <w:r w:rsidR="00A1313A" w:rsidRPr="00ED3261">
        <w:rPr>
          <w:rFonts w:ascii="Times New Roman" w:hAnsi="Times New Roman" w:cs="Times New Roman"/>
          <w:sz w:val="24"/>
          <w:szCs w:val="24"/>
        </w:rPr>
        <w:t xml:space="preserve">13% </w:t>
      </w:r>
      <w:proofErr w:type="gramStart"/>
      <w:r w:rsidR="001121F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121F1">
        <w:rPr>
          <w:rFonts w:ascii="Times New Roman" w:hAnsi="Times New Roman" w:cs="Times New Roman"/>
          <w:sz w:val="24"/>
          <w:szCs w:val="24"/>
        </w:rPr>
        <w:t xml:space="preserve">в 2014 году – 40 составов) </w:t>
      </w:r>
      <w:r w:rsidR="00A1313A" w:rsidRPr="00ED3261">
        <w:rPr>
          <w:rFonts w:ascii="Times New Roman" w:hAnsi="Times New Roman" w:cs="Times New Roman"/>
          <w:sz w:val="24"/>
          <w:szCs w:val="24"/>
        </w:rPr>
        <w:t xml:space="preserve">и составило 46 </w:t>
      </w:r>
      <w:r w:rsidR="003C4E34" w:rsidRPr="00ED3261">
        <w:rPr>
          <w:rFonts w:ascii="Times New Roman" w:hAnsi="Times New Roman" w:cs="Times New Roman"/>
          <w:sz w:val="24"/>
          <w:szCs w:val="24"/>
        </w:rPr>
        <w:t xml:space="preserve"> составов Кодекса Российской Федерации об административных правонарушениях.</w:t>
      </w:r>
      <w:r w:rsidR="00A1313A" w:rsidRPr="00ED3261">
        <w:rPr>
          <w:rFonts w:ascii="Times New Roman" w:hAnsi="Times New Roman" w:cs="Times New Roman"/>
          <w:sz w:val="24"/>
          <w:szCs w:val="24"/>
        </w:rPr>
        <w:t xml:space="preserve"> В сравнении с 2013 годом количество применяемых составов увеличилось на  17,4%, в период 2013 год количество составов составило 38, в 2012 году -22 состава.</w:t>
      </w:r>
    </w:p>
    <w:p w:rsidR="006A4DB0" w:rsidRDefault="003C4E34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 w:rsidRPr="00ED3261">
        <w:rPr>
          <w:rFonts w:ascii="Times New Roman" w:hAnsi="Times New Roman" w:cs="Times New Roman"/>
          <w:sz w:val="24"/>
          <w:szCs w:val="24"/>
        </w:rPr>
        <w:t xml:space="preserve"> </w:t>
      </w:r>
      <w:r w:rsidR="006147DC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6A4DB0">
        <w:rPr>
          <w:rFonts w:ascii="Times New Roman" w:hAnsi="Times New Roman" w:cs="Times New Roman"/>
          <w:sz w:val="24"/>
          <w:szCs w:val="24"/>
        </w:rPr>
        <w:t xml:space="preserve"> №</w:t>
      </w:r>
      <w:r w:rsidR="006147DC">
        <w:rPr>
          <w:rFonts w:ascii="Times New Roman" w:hAnsi="Times New Roman" w:cs="Times New Roman"/>
          <w:sz w:val="24"/>
          <w:szCs w:val="24"/>
        </w:rPr>
        <w:t xml:space="preserve"> </w:t>
      </w:r>
      <w:r w:rsidR="006A4DB0">
        <w:rPr>
          <w:rFonts w:ascii="Times New Roman" w:hAnsi="Times New Roman" w:cs="Times New Roman"/>
          <w:sz w:val="24"/>
          <w:szCs w:val="24"/>
        </w:rPr>
        <w:t>4</w:t>
      </w:r>
      <w:r w:rsidR="006147DC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8812EB">
        <w:rPr>
          <w:rFonts w:ascii="Times New Roman" w:hAnsi="Times New Roman" w:cs="Times New Roman"/>
          <w:sz w:val="24"/>
          <w:szCs w:val="24"/>
        </w:rPr>
        <w:t xml:space="preserve">  Количество применяемых составов правонарушений</w:t>
      </w:r>
    </w:p>
    <w:p w:rsidR="00C84017" w:rsidRDefault="007C018D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A484586" wp14:editId="21A003A4">
            <wp:extent cx="5343525" cy="26574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84017" w:rsidRDefault="00C84017" w:rsidP="00ED32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4017" w:rsidRDefault="00C84017" w:rsidP="00ED32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12EB" w:rsidRDefault="008812EB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подано 3 исковых заявления,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1 исковое заявление в защиту гражданина-потребителя туристских услуг. Все иски удовлетворены.</w:t>
      </w:r>
    </w:p>
    <w:p w:rsidR="00E75614" w:rsidRDefault="00E75614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2017году ТО УРПН подано </w:t>
      </w:r>
      <w:r w:rsidR="0085519C">
        <w:rPr>
          <w:rFonts w:ascii="Times New Roman" w:hAnsi="Times New Roman" w:cs="Times New Roman"/>
          <w:sz w:val="24"/>
          <w:szCs w:val="24"/>
        </w:rPr>
        <w:t xml:space="preserve">3 исковых заявлений, в </w:t>
      </w:r>
      <w:proofErr w:type="spellStart"/>
      <w:r w:rsidR="0085519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85519C">
        <w:rPr>
          <w:rFonts w:ascii="Times New Roman" w:hAnsi="Times New Roman" w:cs="Times New Roman"/>
          <w:sz w:val="24"/>
          <w:szCs w:val="24"/>
        </w:rPr>
        <w:t xml:space="preserve">. 1 иск в защиту гражданина, чьи права нарушены, 2 исковых заявления о понуждении исполнения предписания </w:t>
      </w:r>
      <w:proofErr w:type="spellStart"/>
      <w:r w:rsidR="0085519C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="0085519C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85519C">
        <w:rPr>
          <w:rFonts w:ascii="Times New Roman" w:hAnsi="Times New Roman" w:cs="Times New Roman"/>
          <w:sz w:val="24"/>
          <w:szCs w:val="24"/>
        </w:rPr>
        <w:t>ргана</w:t>
      </w:r>
      <w:proofErr w:type="spellEnd"/>
      <w:r w:rsidR="008551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519C" w:rsidRDefault="0085519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Иски удовлетворены.</w:t>
      </w:r>
    </w:p>
    <w:p w:rsidR="00C84017" w:rsidRDefault="00925731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истекший период 2016 года </w:t>
      </w:r>
      <w:r w:rsidR="004E34C9">
        <w:rPr>
          <w:rFonts w:ascii="Times New Roman" w:hAnsi="Times New Roman" w:cs="Times New Roman"/>
          <w:sz w:val="24"/>
          <w:szCs w:val="24"/>
        </w:rPr>
        <w:t xml:space="preserve"> подано Управлением Роспотребнадзора, территориальным отделом Роспотребнадзора  5 исков, в том числе 1 иск в защиту неопределенного круга потребителей о понуждении исполнения санитарного законодательства и исполнения предписания </w:t>
      </w:r>
      <w:proofErr w:type="spellStart"/>
      <w:r w:rsidR="004E34C9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="004E34C9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4E34C9">
        <w:rPr>
          <w:rFonts w:ascii="Times New Roman" w:hAnsi="Times New Roman" w:cs="Times New Roman"/>
          <w:sz w:val="24"/>
          <w:szCs w:val="24"/>
        </w:rPr>
        <w:t>ргана</w:t>
      </w:r>
      <w:proofErr w:type="spellEnd"/>
      <w:r w:rsidR="004E34C9">
        <w:rPr>
          <w:rFonts w:ascii="Times New Roman" w:hAnsi="Times New Roman" w:cs="Times New Roman"/>
          <w:sz w:val="24"/>
          <w:szCs w:val="24"/>
        </w:rPr>
        <w:t xml:space="preserve">, 4 иска в защиту конкретных потребителей. Судом </w:t>
      </w:r>
      <w:r>
        <w:rPr>
          <w:rFonts w:ascii="Times New Roman" w:hAnsi="Times New Roman" w:cs="Times New Roman"/>
          <w:sz w:val="24"/>
          <w:szCs w:val="24"/>
        </w:rPr>
        <w:t>рассмотрено</w:t>
      </w:r>
      <w:r w:rsidR="00970752">
        <w:rPr>
          <w:rFonts w:ascii="Times New Roman" w:hAnsi="Times New Roman" w:cs="Times New Roman"/>
          <w:sz w:val="24"/>
          <w:szCs w:val="24"/>
        </w:rPr>
        <w:t xml:space="preserve"> </w:t>
      </w:r>
      <w:r w:rsidR="004E34C9">
        <w:rPr>
          <w:rFonts w:ascii="Times New Roman" w:hAnsi="Times New Roman" w:cs="Times New Roman"/>
          <w:sz w:val="24"/>
          <w:szCs w:val="24"/>
        </w:rPr>
        <w:t>5 исков, иски удовлетворены.</w:t>
      </w:r>
    </w:p>
    <w:p w:rsidR="00B94D21" w:rsidRPr="00ED3261" w:rsidRDefault="00B94D21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ТО УРПН подано 4 иска в защиту конкретного потребителя, Судом данные иски рассмотрены и удовлетворены.</w:t>
      </w:r>
    </w:p>
    <w:p w:rsidR="007E20E0" w:rsidRPr="00ED3261" w:rsidRDefault="007E20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3261">
        <w:rPr>
          <w:rFonts w:ascii="Times New Roman" w:hAnsi="Times New Roman" w:cs="Times New Roman"/>
          <w:sz w:val="24"/>
          <w:szCs w:val="24"/>
        </w:rPr>
        <w:t>В 2014 году подан 1 иск в защиту неопределенного круга лиц в отношении ОАО «</w:t>
      </w:r>
      <w:proofErr w:type="spellStart"/>
      <w:r w:rsidRPr="00ED3261">
        <w:rPr>
          <w:rFonts w:ascii="Times New Roman" w:hAnsi="Times New Roman" w:cs="Times New Roman"/>
          <w:sz w:val="24"/>
          <w:szCs w:val="24"/>
        </w:rPr>
        <w:t>Юганскводоканал</w:t>
      </w:r>
      <w:proofErr w:type="spellEnd"/>
      <w:r w:rsidRPr="00ED3261">
        <w:rPr>
          <w:rFonts w:ascii="Times New Roman" w:hAnsi="Times New Roman" w:cs="Times New Roman"/>
          <w:sz w:val="24"/>
          <w:szCs w:val="24"/>
        </w:rPr>
        <w:t>». Судом принято решение об удовлетворении исковых требований в полном объеме</w:t>
      </w:r>
      <w:proofErr w:type="gramStart"/>
      <w:r w:rsidRPr="00ED326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ED3261">
        <w:rPr>
          <w:rFonts w:ascii="Times New Roman" w:hAnsi="Times New Roman" w:cs="Times New Roman"/>
          <w:sz w:val="24"/>
          <w:szCs w:val="24"/>
        </w:rPr>
        <w:t>что составляет 100%)</w:t>
      </w:r>
    </w:p>
    <w:p w:rsidR="00A1313A" w:rsidRDefault="00A1313A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3261">
        <w:rPr>
          <w:rFonts w:ascii="Times New Roman" w:hAnsi="Times New Roman" w:cs="Times New Roman"/>
          <w:sz w:val="24"/>
          <w:szCs w:val="24"/>
        </w:rPr>
        <w:t xml:space="preserve"> В 2015 году судебной коллегией Суда ХМАО-Югры данное решение суда оставлено без изменения. </w:t>
      </w:r>
    </w:p>
    <w:p w:rsidR="007F4AF5" w:rsidRDefault="007F4AF5" w:rsidP="007F4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дано заключений в судах – 10.  Из них:</w:t>
      </w:r>
    </w:p>
    <w:p w:rsidR="007F4AF5" w:rsidRDefault="007F4AF5" w:rsidP="007F4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- 9 заключений в суде по делу о защите прав потребителей  о взыскании убытков, уплаченных за коммунальные услуги по горячему, холодному водоснабжению ненадлежащего качества. ( Истцы – потребители, ответчик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УК)</w:t>
      </w:r>
    </w:p>
    <w:p w:rsidR="007F4AF5" w:rsidRDefault="007F4AF5" w:rsidP="007F4A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62A6D">
        <w:rPr>
          <w:rFonts w:ascii="Times New Roman" w:hAnsi="Times New Roman" w:cs="Times New Roman"/>
          <w:sz w:val="24"/>
          <w:szCs w:val="24"/>
        </w:rPr>
        <w:t>- 1  Потребители Ященко к ООО «О Кей»</w:t>
      </w:r>
      <w:r>
        <w:rPr>
          <w:rFonts w:ascii="Times New Roman" w:hAnsi="Times New Roman" w:cs="Times New Roman"/>
          <w:sz w:val="24"/>
          <w:szCs w:val="24"/>
        </w:rPr>
        <w:t>. Судом присуждено в пользу потребителей – 569163,0 , из них морального вреда 372 000 рублей</w:t>
      </w:r>
    </w:p>
    <w:p w:rsidR="007E20E0" w:rsidRPr="00ED3261" w:rsidRDefault="008812EB" w:rsidP="007F4A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2017-2018</w:t>
      </w:r>
      <w:r w:rsidR="007C01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018D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7C018D">
        <w:rPr>
          <w:rFonts w:ascii="Times New Roman" w:hAnsi="Times New Roman" w:cs="Times New Roman"/>
          <w:sz w:val="24"/>
          <w:szCs w:val="24"/>
        </w:rPr>
        <w:t>.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постановления о направлении в правоохранительные органы материалов для возбуждения уголовных дел не направлялись.</w:t>
      </w:r>
    </w:p>
    <w:p w:rsidR="00D0035C" w:rsidRPr="00ED3261" w:rsidRDefault="00D0035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0035C" w:rsidRPr="00ED3261" w:rsidSect="00B103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D6" w:rsidRDefault="002310D6" w:rsidP="004968CE">
      <w:pPr>
        <w:spacing w:after="0" w:line="240" w:lineRule="auto"/>
      </w:pPr>
      <w:r>
        <w:separator/>
      </w:r>
    </w:p>
  </w:endnote>
  <w:endnote w:type="continuationSeparator" w:id="0">
    <w:p w:rsidR="002310D6" w:rsidRDefault="002310D6" w:rsidP="0049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CE" w:rsidRDefault="004968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4235225"/>
      <w:docPartObj>
        <w:docPartGallery w:val="Page Numbers (Bottom of Page)"/>
        <w:docPartUnique/>
      </w:docPartObj>
    </w:sdtPr>
    <w:sdtEndPr/>
    <w:sdtContent>
      <w:p w:rsidR="00B103A8" w:rsidRDefault="00B103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7DC">
          <w:rPr>
            <w:noProof/>
          </w:rPr>
          <w:t>150</w:t>
        </w:r>
        <w:r>
          <w:fldChar w:fldCharType="end"/>
        </w:r>
      </w:p>
    </w:sdtContent>
  </w:sdt>
  <w:p w:rsidR="004968CE" w:rsidRDefault="004968C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CE" w:rsidRDefault="004968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D6" w:rsidRDefault="002310D6" w:rsidP="004968CE">
      <w:pPr>
        <w:spacing w:after="0" w:line="240" w:lineRule="auto"/>
      </w:pPr>
      <w:r>
        <w:separator/>
      </w:r>
    </w:p>
  </w:footnote>
  <w:footnote w:type="continuationSeparator" w:id="0">
    <w:p w:rsidR="002310D6" w:rsidRDefault="002310D6" w:rsidP="0049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CE" w:rsidRDefault="004968C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CE" w:rsidRDefault="004968C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CE" w:rsidRDefault="004968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C"/>
    <w:rsid w:val="000402E8"/>
    <w:rsid w:val="00055EE1"/>
    <w:rsid w:val="00074058"/>
    <w:rsid w:val="00094807"/>
    <w:rsid w:val="0009642A"/>
    <w:rsid w:val="000B0B11"/>
    <w:rsid w:val="000F3AE0"/>
    <w:rsid w:val="001022AE"/>
    <w:rsid w:val="001121F1"/>
    <w:rsid w:val="00127D0D"/>
    <w:rsid w:val="00136C02"/>
    <w:rsid w:val="001618FF"/>
    <w:rsid w:val="001658E1"/>
    <w:rsid w:val="00172DE8"/>
    <w:rsid w:val="001E3D82"/>
    <w:rsid w:val="001F124C"/>
    <w:rsid w:val="002310D6"/>
    <w:rsid w:val="00234516"/>
    <w:rsid w:val="00237737"/>
    <w:rsid w:val="002940FA"/>
    <w:rsid w:val="002D7568"/>
    <w:rsid w:val="00314F8B"/>
    <w:rsid w:val="00355F2A"/>
    <w:rsid w:val="003B0D2C"/>
    <w:rsid w:val="003B6F01"/>
    <w:rsid w:val="003C4E34"/>
    <w:rsid w:val="003F08B1"/>
    <w:rsid w:val="0041421A"/>
    <w:rsid w:val="00467B2A"/>
    <w:rsid w:val="004712A7"/>
    <w:rsid w:val="004968CE"/>
    <w:rsid w:val="004E34C9"/>
    <w:rsid w:val="0051450F"/>
    <w:rsid w:val="00572769"/>
    <w:rsid w:val="00577FA8"/>
    <w:rsid w:val="00583D06"/>
    <w:rsid w:val="005D738D"/>
    <w:rsid w:val="00600E9C"/>
    <w:rsid w:val="0060123A"/>
    <w:rsid w:val="00613FAD"/>
    <w:rsid w:val="006147DC"/>
    <w:rsid w:val="0064278D"/>
    <w:rsid w:val="00647713"/>
    <w:rsid w:val="00666D14"/>
    <w:rsid w:val="006827CE"/>
    <w:rsid w:val="006A4DB0"/>
    <w:rsid w:val="006B065F"/>
    <w:rsid w:val="006B0B2C"/>
    <w:rsid w:val="006C00FF"/>
    <w:rsid w:val="006F0773"/>
    <w:rsid w:val="007314EB"/>
    <w:rsid w:val="00792B9F"/>
    <w:rsid w:val="007C018D"/>
    <w:rsid w:val="007E20E0"/>
    <w:rsid w:val="007F4AF5"/>
    <w:rsid w:val="008457B6"/>
    <w:rsid w:val="0085519C"/>
    <w:rsid w:val="00855AC5"/>
    <w:rsid w:val="008603EC"/>
    <w:rsid w:val="00865856"/>
    <w:rsid w:val="008660AF"/>
    <w:rsid w:val="008812EB"/>
    <w:rsid w:val="00883960"/>
    <w:rsid w:val="008B522D"/>
    <w:rsid w:val="00922FD7"/>
    <w:rsid w:val="00925731"/>
    <w:rsid w:val="0094376D"/>
    <w:rsid w:val="0095719F"/>
    <w:rsid w:val="00970752"/>
    <w:rsid w:val="009A5808"/>
    <w:rsid w:val="009D36F4"/>
    <w:rsid w:val="00A02036"/>
    <w:rsid w:val="00A1313A"/>
    <w:rsid w:val="00A33D66"/>
    <w:rsid w:val="00A92E28"/>
    <w:rsid w:val="00AA39E4"/>
    <w:rsid w:val="00AC1EF9"/>
    <w:rsid w:val="00AE6419"/>
    <w:rsid w:val="00B103A8"/>
    <w:rsid w:val="00B51AD6"/>
    <w:rsid w:val="00B94D21"/>
    <w:rsid w:val="00BA5AB2"/>
    <w:rsid w:val="00BE5A76"/>
    <w:rsid w:val="00BF4419"/>
    <w:rsid w:val="00C024C3"/>
    <w:rsid w:val="00C1609F"/>
    <w:rsid w:val="00C1681B"/>
    <w:rsid w:val="00C20A7A"/>
    <w:rsid w:val="00C25254"/>
    <w:rsid w:val="00C3223B"/>
    <w:rsid w:val="00C34AF2"/>
    <w:rsid w:val="00C6322D"/>
    <w:rsid w:val="00C67FA7"/>
    <w:rsid w:val="00C7226C"/>
    <w:rsid w:val="00C72BA2"/>
    <w:rsid w:val="00C84017"/>
    <w:rsid w:val="00C856A4"/>
    <w:rsid w:val="00CA37BE"/>
    <w:rsid w:val="00D0035C"/>
    <w:rsid w:val="00D21E85"/>
    <w:rsid w:val="00D32E96"/>
    <w:rsid w:val="00D44186"/>
    <w:rsid w:val="00D45E6E"/>
    <w:rsid w:val="00D71458"/>
    <w:rsid w:val="00D71639"/>
    <w:rsid w:val="00DB2F48"/>
    <w:rsid w:val="00DC195E"/>
    <w:rsid w:val="00DD543E"/>
    <w:rsid w:val="00E460E4"/>
    <w:rsid w:val="00E75614"/>
    <w:rsid w:val="00ED3261"/>
    <w:rsid w:val="00F30A4A"/>
    <w:rsid w:val="00F7652E"/>
    <w:rsid w:val="00FA376A"/>
    <w:rsid w:val="00FA6F93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6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68CE"/>
  </w:style>
  <w:style w:type="paragraph" w:styleId="a8">
    <w:name w:val="footer"/>
    <w:basedOn w:val="a"/>
    <w:link w:val="a9"/>
    <w:uiPriority w:val="99"/>
    <w:unhideWhenUsed/>
    <w:rsid w:val="00496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68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6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68CE"/>
  </w:style>
  <w:style w:type="paragraph" w:styleId="a8">
    <w:name w:val="footer"/>
    <w:basedOn w:val="a"/>
    <w:link w:val="a9"/>
    <w:uiPriority w:val="99"/>
    <w:unhideWhenUsed/>
    <w:rsid w:val="00496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6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028776978417265"/>
          <c:y val="4.9450549450549448E-2"/>
          <c:w val="0.6079136690647482"/>
          <c:h val="0.846153846153846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999FF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314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3366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282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FFFFCC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208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29240064"/>
        <c:axId val="129241856"/>
        <c:axId val="0"/>
      </c:bar3DChart>
      <c:catAx>
        <c:axId val="129240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2418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9241856"/>
        <c:scaling>
          <c:orientation val="minMax"/>
        </c:scaling>
        <c:delete val="0"/>
        <c:axPos val="l"/>
        <c:majorGridlines>
          <c:spPr>
            <a:ln w="314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240064"/>
        <c:crosses val="autoZero"/>
        <c:crossBetween val="between"/>
      </c:valAx>
      <c:spPr>
        <a:noFill/>
        <a:ln w="25133">
          <a:noFill/>
        </a:ln>
      </c:spPr>
    </c:plotArea>
    <c:legend>
      <c:legendPos val="r"/>
      <c:layout>
        <c:manualLayout>
          <c:xMode val="edge"/>
          <c:yMode val="edge"/>
          <c:x val="0.79856115107913672"/>
          <c:y val="0.34615384615384615"/>
          <c:w val="0.20143884892086331"/>
          <c:h val="0.31868131868131866"/>
        </c:manualLayout>
      </c:layout>
      <c:overlay val="0"/>
      <c:spPr>
        <a:noFill/>
        <a:ln w="3142">
          <a:solidFill>
            <a:srgbClr val="000000"/>
          </a:solidFill>
          <a:prstDash val="solid"/>
        </a:ln>
      </c:spPr>
      <c:txPr>
        <a:bodyPr/>
        <a:lstStyle/>
        <a:p>
          <a:pPr>
            <a:defRPr sz="727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383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334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213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484480"/>
        <c:axId val="130490368"/>
        <c:axId val="0"/>
      </c:bar3DChart>
      <c:catAx>
        <c:axId val="130484480"/>
        <c:scaling>
          <c:orientation val="minMax"/>
        </c:scaling>
        <c:delete val="0"/>
        <c:axPos val="b"/>
        <c:majorTickMark val="out"/>
        <c:minorTickMark val="none"/>
        <c:tickLblPos val="nextTo"/>
        <c:crossAx val="130490368"/>
        <c:crosses val="autoZero"/>
        <c:auto val="1"/>
        <c:lblAlgn val="ctr"/>
        <c:lblOffset val="100"/>
        <c:noMultiLvlLbl val="0"/>
      </c:catAx>
      <c:valAx>
        <c:axId val="130490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04844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5"/>
      <c:hPercent val="67"/>
      <c:rotY val="44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"/>
          <c:y val="0.05"/>
          <c:w val="0.578125"/>
          <c:h val="0.838888888888888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9999FF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4967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3366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3596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FFFFCC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#,##0</c:formatCode>
                <c:ptCount val="1"/>
                <c:pt idx="0">
                  <c:v>3071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30520576"/>
        <c:axId val="130522112"/>
        <c:axId val="0"/>
      </c:bar3DChart>
      <c:catAx>
        <c:axId val="130520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05221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0522112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0520576"/>
        <c:crosses val="autoZero"/>
        <c:crossBetween val="between"/>
      </c:valAx>
      <c:spPr>
        <a:noFill/>
        <a:ln w="25391">
          <a:noFill/>
        </a:ln>
      </c:spPr>
    </c:plotArea>
    <c:legend>
      <c:legendPos val="r"/>
      <c:layout>
        <c:manualLayout>
          <c:xMode val="edge"/>
          <c:yMode val="edge"/>
          <c:x val="0.8125"/>
          <c:y val="0.33888888888888891"/>
          <c:w val="0.17499999999999999"/>
          <c:h val="0.32222222222222224"/>
        </c:manualLayout>
      </c:layout>
      <c:overlay val="0"/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Составы правонарушений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46</c:v>
                </c:pt>
                <c:pt idx="2">
                  <c:v>43</c:v>
                </c:pt>
                <c:pt idx="3">
                  <c:v>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Зиля</cp:lastModifiedBy>
  <cp:revision>116</cp:revision>
  <dcterms:created xsi:type="dcterms:W3CDTF">2016-02-01T07:56:00Z</dcterms:created>
  <dcterms:modified xsi:type="dcterms:W3CDTF">2019-02-12T04:22:00Z</dcterms:modified>
</cp:coreProperties>
</file>