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10" w:rsidRPr="000A635E" w:rsidRDefault="00BE1110" w:rsidP="00BE1110">
      <w:pPr>
        <w:tabs>
          <w:tab w:val="left" w:pos="1701"/>
        </w:tabs>
        <w:ind w:left="-284" w:firstLine="851"/>
        <w:jc w:val="center"/>
        <w:rPr>
          <w:rFonts w:eastAsiaTheme="minorEastAsia"/>
          <w:b/>
          <w:sz w:val="26"/>
          <w:szCs w:val="26"/>
        </w:rPr>
      </w:pPr>
      <w:r w:rsidRPr="000A635E">
        <w:rPr>
          <w:rFonts w:eastAsiaTheme="minorEastAsia"/>
          <w:b/>
          <w:bCs/>
          <w:sz w:val="26"/>
          <w:szCs w:val="26"/>
        </w:rPr>
        <w:t xml:space="preserve">Глава  </w:t>
      </w:r>
      <w:r w:rsidRPr="000A635E">
        <w:rPr>
          <w:rFonts w:eastAsiaTheme="minorEastAsia"/>
          <w:b/>
          <w:sz w:val="26"/>
          <w:szCs w:val="26"/>
        </w:rPr>
        <w:t>1.</w:t>
      </w:r>
      <w:r w:rsidR="000A635E" w:rsidRPr="000A635E">
        <w:rPr>
          <w:rFonts w:eastAsiaTheme="minorEastAsia"/>
          <w:b/>
          <w:sz w:val="26"/>
          <w:szCs w:val="26"/>
        </w:rPr>
        <w:t>2</w:t>
      </w:r>
      <w:r w:rsidR="007F5CD0">
        <w:rPr>
          <w:rFonts w:eastAsiaTheme="minorEastAsia"/>
          <w:b/>
          <w:sz w:val="26"/>
          <w:szCs w:val="26"/>
        </w:rPr>
        <w:t xml:space="preserve"> </w:t>
      </w:r>
      <w:r w:rsidRPr="000A635E">
        <w:rPr>
          <w:rFonts w:eastAsiaTheme="minorEastAsia"/>
          <w:b/>
          <w:sz w:val="26"/>
          <w:szCs w:val="26"/>
        </w:rPr>
        <w:t xml:space="preserve"> Анализ состояния заболеваемости  массовыми неинфекционными заболеваниями (отравлениями) и приоритетными заболеваниями в связи с вредным воздействием факторов среды обитания населенияг. Нефтеюганска</w:t>
      </w:r>
    </w:p>
    <w:p w:rsidR="00BE1110" w:rsidRPr="000A635E" w:rsidRDefault="00BE1110" w:rsidP="00BE1110">
      <w:pPr>
        <w:tabs>
          <w:tab w:val="left" w:pos="1701"/>
        </w:tabs>
        <w:ind w:left="-284" w:firstLine="851"/>
        <w:jc w:val="center"/>
        <w:rPr>
          <w:rFonts w:eastAsiaTheme="minorEastAsia"/>
          <w:b/>
          <w:sz w:val="24"/>
          <w:szCs w:val="24"/>
        </w:rPr>
      </w:pPr>
    </w:p>
    <w:p w:rsidR="00BE1110" w:rsidRPr="000A635E" w:rsidRDefault="00BE1110" w:rsidP="00BE1110">
      <w:pPr>
        <w:spacing w:after="200"/>
        <w:ind w:left="-284" w:firstLine="851"/>
        <w:jc w:val="center"/>
        <w:rPr>
          <w:rFonts w:eastAsiaTheme="minorEastAsia"/>
          <w:b/>
          <w:sz w:val="24"/>
          <w:szCs w:val="24"/>
        </w:rPr>
      </w:pPr>
      <w:r w:rsidRPr="000A635E">
        <w:rPr>
          <w:rFonts w:eastAsiaTheme="minorEastAsia"/>
          <w:b/>
          <w:bCs/>
          <w:sz w:val="24"/>
          <w:szCs w:val="24"/>
        </w:rPr>
        <w:t>Структура общей заболеваемости и ранговое место отдельных классов болезней</w:t>
      </w:r>
    </w:p>
    <w:p w:rsidR="00BE1110" w:rsidRPr="000A635E" w:rsidRDefault="00BE1110" w:rsidP="00BE1110">
      <w:pPr>
        <w:ind w:firstLine="851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В г. Нефтеюганске в структуре общей заболеваемости в </w:t>
      </w:r>
      <w:r w:rsidR="00D62A3B" w:rsidRPr="000A635E">
        <w:rPr>
          <w:rFonts w:eastAsiaTheme="minorEastAsia"/>
          <w:sz w:val="24"/>
          <w:szCs w:val="24"/>
        </w:rPr>
        <w:t>2018</w:t>
      </w:r>
      <w:r w:rsidRPr="000A635E">
        <w:rPr>
          <w:rFonts w:eastAsiaTheme="minorEastAsia"/>
          <w:sz w:val="24"/>
          <w:szCs w:val="24"/>
        </w:rPr>
        <w:t xml:space="preserve"> году ведущее место занимают болезни органов дыхания – 26,5 % (в прошлом году 29,2%), болезни костно-мышечной системы 11,9 % (в прошлом году 10,6 %), болезни мочеполовой системы – 4,9 % (в прошлом году 8,06%)</w:t>
      </w:r>
    </w:p>
    <w:p w:rsidR="00BE1110" w:rsidRPr="000A635E" w:rsidRDefault="00533FEC" w:rsidP="00BE1110">
      <w:pPr>
        <w:spacing w:after="200"/>
        <w:ind w:left="-284" w:firstLine="851"/>
        <w:jc w:val="right"/>
        <w:outlineLvl w:val="0"/>
        <w:rPr>
          <w:rFonts w:eastAsiaTheme="minorEastAsia"/>
          <w:sz w:val="21"/>
          <w:szCs w:val="21"/>
        </w:rPr>
      </w:pPr>
      <w:r w:rsidRPr="000A635E">
        <w:rPr>
          <w:rFonts w:eastAsiaTheme="minorEastAsia"/>
          <w:sz w:val="21"/>
          <w:szCs w:val="21"/>
        </w:rPr>
        <w:t>Таблица № 20</w:t>
      </w:r>
    </w:p>
    <w:p w:rsidR="00BE1110" w:rsidRPr="000A635E" w:rsidRDefault="00BE1110" w:rsidP="00BE1110">
      <w:pPr>
        <w:ind w:left="-284" w:firstLine="851"/>
        <w:jc w:val="center"/>
        <w:rPr>
          <w:rFonts w:eastAsiaTheme="minorEastAsia"/>
          <w:b/>
          <w:bCs/>
          <w:iCs/>
          <w:sz w:val="24"/>
          <w:szCs w:val="22"/>
        </w:rPr>
      </w:pPr>
      <w:r w:rsidRPr="000A635E">
        <w:rPr>
          <w:rFonts w:eastAsiaTheme="minorEastAsia"/>
          <w:b/>
          <w:sz w:val="24"/>
          <w:szCs w:val="22"/>
        </w:rPr>
        <w:t xml:space="preserve">Общая заболеваемость населения в г. Нефтеюганске </w:t>
      </w:r>
      <w:r w:rsidRPr="000A635E">
        <w:rPr>
          <w:rFonts w:eastAsiaTheme="minorEastAsia"/>
          <w:b/>
          <w:bCs/>
          <w:iCs/>
          <w:sz w:val="24"/>
          <w:szCs w:val="22"/>
        </w:rPr>
        <w:t xml:space="preserve">(на 1000 населения) </w:t>
      </w:r>
    </w:p>
    <w:p w:rsidR="00BE1110" w:rsidRPr="000A635E" w:rsidRDefault="00BE1110" w:rsidP="00BE1110">
      <w:pPr>
        <w:ind w:left="-284" w:firstLine="851"/>
        <w:jc w:val="center"/>
        <w:rPr>
          <w:rFonts w:eastAsiaTheme="minorEastAsia"/>
          <w:b/>
          <w:sz w:val="24"/>
          <w:szCs w:val="22"/>
        </w:rPr>
      </w:pPr>
      <w:r w:rsidRPr="000A635E">
        <w:rPr>
          <w:rFonts w:eastAsiaTheme="minorEastAsia"/>
          <w:b/>
          <w:sz w:val="24"/>
          <w:szCs w:val="22"/>
        </w:rPr>
        <w:t>за 201</w:t>
      </w:r>
      <w:r w:rsidR="00D62A3B" w:rsidRPr="000A635E">
        <w:rPr>
          <w:rFonts w:eastAsiaTheme="minorEastAsia"/>
          <w:b/>
          <w:sz w:val="24"/>
          <w:szCs w:val="22"/>
        </w:rPr>
        <w:t>8</w:t>
      </w:r>
      <w:r w:rsidR="000A635E">
        <w:rPr>
          <w:rFonts w:eastAsiaTheme="minorEastAsia"/>
          <w:b/>
          <w:sz w:val="24"/>
          <w:szCs w:val="22"/>
        </w:rPr>
        <w:t xml:space="preserve"> </w:t>
      </w:r>
      <w:r w:rsidRPr="000A635E">
        <w:rPr>
          <w:rFonts w:eastAsiaTheme="minorEastAsia"/>
          <w:b/>
          <w:sz w:val="24"/>
          <w:szCs w:val="22"/>
        </w:rPr>
        <w:t>год</w:t>
      </w:r>
    </w:p>
    <w:p w:rsidR="00BE1110" w:rsidRPr="000A635E" w:rsidRDefault="00BE1110" w:rsidP="00BE1110">
      <w:pPr>
        <w:ind w:left="-284"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9000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231"/>
        <w:gridCol w:w="1109"/>
        <w:gridCol w:w="1281"/>
        <w:gridCol w:w="1239"/>
      </w:tblGrid>
      <w:tr w:rsidR="00BE1110" w:rsidRPr="000A635E" w:rsidTr="009F363E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1110" w:rsidRPr="000A635E" w:rsidRDefault="00BE1110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Классы болезней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0A635E" w:rsidRDefault="00BE1110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Всего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0A635E" w:rsidRDefault="00BE1110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Дети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0A635E" w:rsidRDefault="00BE1110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 xml:space="preserve">    Подростки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0A635E" w:rsidRDefault="00BE1110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 xml:space="preserve">   Взрослые</w:t>
            </w:r>
          </w:p>
        </w:tc>
      </w:tr>
      <w:tr w:rsidR="007A33B9" w:rsidRPr="000A635E" w:rsidTr="007A33B9">
        <w:trPr>
          <w:trHeight w:val="493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1760,1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3850,2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2229,5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1217,4</w:t>
            </w:r>
          </w:p>
        </w:tc>
      </w:tr>
      <w:tr w:rsidR="007A33B9" w:rsidRPr="000A635E" w:rsidTr="007A33B9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Инфекционные болезни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78,1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104,5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36,3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73,1</w:t>
            </w:r>
          </w:p>
        </w:tc>
      </w:tr>
      <w:tr w:rsidR="007A33B9" w:rsidRPr="000A635E" w:rsidTr="007A33B9">
        <w:trPr>
          <w:trHeight w:val="45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Новообразования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34,7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11,4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41,3</w:t>
            </w:r>
          </w:p>
        </w:tc>
      </w:tr>
      <w:tr w:rsidR="007A33B9" w:rsidRPr="000A635E" w:rsidTr="007A33B9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крови и кроветворных органов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11,7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12,3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21,4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11,2</w:t>
            </w:r>
          </w:p>
        </w:tc>
      </w:tr>
      <w:tr w:rsidR="007A33B9" w:rsidRPr="000A635E" w:rsidTr="007A33B9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эндокринной системы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72,8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37,7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82,4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81,3</w:t>
            </w:r>
          </w:p>
        </w:tc>
      </w:tr>
      <w:tr w:rsidR="007A33B9" w:rsidRPr="000A635E" w:rsidTr="007A33B9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Психические расстройства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13,5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18,6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35,5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11,4</w:t>
            </w:r>
          </w:p>
        </w:tc>
      </w:tr>
      <w:tr w:rsidR="007A33B9" w:rsidRPr="000A635E" w:rsidTr="007A33B9">
        <w:trPr>
          <w:trHeight w:val="43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нервной системы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77,1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238,9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172,9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32,8</w:t>
            </w:r>
          </w:p>
        </w:tc>
      </w:tr>
      <w:tr w:rsidR="007A33B9" w:rsidRPr="000A635E" w:rsidTr="007A33B9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глаза и его придаточного аппарата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96,7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193,8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121,7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71,4</w:t>
            </w:r>
          </w:p>
        </w:tc>
      </w:tr>
      <w:tr w:rsidR="007A33B9" w:rsidRPr="000A635E" w:rsidTr="007A33B9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уха и сосцевидного отростка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36,1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57,2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36,0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30,7</w:t>
            </w:r>
          </w:p>
        </w:tc>
      </w:tr>
      <w:tr w:rsidR="007A33B9" w:rsidRPr="000A635E" w:rsidTr="007A33B9">
        <w:trPr>
          <w:trHeight w:val="33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системы кровообращения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167,2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11,9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29,3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211,4</w:t>
            </w:r>
          </w:p>
        </w:tc>
      </w:tr>
      <w:tr w:rsidR="007A33B9" w:rsidRPr="000A635E" w:rsidTr="007A33B9">
        <w:trPr>
          <w:trHeight w:val="33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органов дыхания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671,4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2530,8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754,2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201,2</w:t>
            </w:r>
          </w:p>
        </w:tc>
      </w:tr>
      <w:tr w:rsidR="007A33B9" w:rsidRPr="000A635E" w:rsidTr="007A33B9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органов пищеварения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108,0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168,8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138,8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91,5</w:t>
            </w:r>
          </w:p>
        </w:tc>
      </w:tr>
      <w:tr w:rsidR="007A33B9" w:rsidRPr="000A635E" w:rsidTr="007A33B9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кожи и подкожной клетчатки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78,3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147,8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166,7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57,5</w:t>
            </w:r>
          </w:p>
        </w:tc>
      </w:tr>
      <w:tr w:rsidR="007A33B9" w:rsidRPr="000A635E" w:rsidTr="007A33B9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костно-мышечной системы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187,6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102,0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245,0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207,0</w:t>
            </w:r>
          </w:p>
        </w:tc>
      </w:tr>
      <w:tr w:rsidR="007A33B9" w:rsidRPr="000A635E" w:rsidTr="007A33B9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Болезни мочеполовой системы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62,6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58,0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226,3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57,6</w:t>
            </w:r>
          </w:p>
        </w:tc>
      </w:tr>
      <w:tr w:rsidR="007A33B9" w:rsidRPr="000A635E" w:rsidTr="007A33B9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Беременность, роды и послеродовый период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20,3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0,0</w:t>
            </w:r>
          </w:p>
        </w:tc>
      </w:tr>
      <w:tr w:rsidR="007A33B9" w:rsidRPr="000A635E" w:rsidTr="007A33B9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Отдельные состояния, возникающие в перинатальном периоде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4,3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0,0</w:t>
            </w:r>
          </w:p>
        </w:tc>
      </w:tr>
      <w:tr w:rsidR="007A33B9" w:rsidRPr="000A635E" w:rsidTr="007A33B9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Врожденные аномалии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10,7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48,5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17,1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0,9</w:t>
            </w:r>
          </w:p>
        </w:tc>
      </w:tr>
      <w:tr w:rsidR="007A33B9" w:rsidRPr="000A635E" w:rsidTr="007A33B9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Симптомы, признаки и отклонения от нормы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0,0</w:t>
            </w:r>
          </w:p>
        </w:tc>
      </w:tr>
      <w:tr w:rsidR="007A33B9" w:rsidRPr="000A635E" w:rsidTr="007A33B9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3B9" w:rsidRPr="000A635E" w:rsidRDefault="007A33B9" w:rsidP="000722C5">
            <w:pPr>
              <w:spacing w:before="20" w:after="20"/>
              <w:ind w:left="-284"/>
              <w:jc w:val="center"/>
              <w:rPr>
                <w:rFonts w:eastAsiaTheme="minorEastAsia"/>
                <w:sz w:val="21"/>
                <w:szCs w:val="21"/>
              </w:rPr>
            </w:pPr>
            <w:r w:rsidRPr="000A635E">
              <w:rPr>
                <w:rFonts w:eastAsiaTheme="minorEastAsia"/>
                <w:sz w:val="21"/>
                <w:szCs w:val="21"/>
              </w:rPr>
              <w:t>Травмы и отравления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52,7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103,7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130,1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B9" w:rsidRPr="000A635E" w:rsidRDefault="007A33B9" w:rsidP="007A33B9">
            <w:pPr>
              <w:jc w:val="center"/>
            </w:pPr>
            <w:r w:rsidRPr="000A635E">
              <w:t>37,0</w:t>
            </w:r>
          </w:p>
        </w:tc>
      </w:tr>
    </w:tbl>
    <w:p w:rsidR="00BE1110" w:rsidRPr="000A635E" w:rsidRDefault="00BE1110" w:rsidP="00BE1110">
      <w:pPr>
        <w:pStyle w:val="26"/>
        <w:shd w:val="clear" w:color="auto" w:fill="auto"/>
        <w:spacing w:before="0" w:after="111" w:line="240" w:lineRule="auto"/>
        <w:ind w:right="780" w:firstLine="426"/>
        <w:jc w:val="both"/>
        <w:rPr>
          <w:color w:val="000000" w:themeColor="text1"/>
          <w:sz w:val="24"/>
          <w:szCs w:val="24"/>
        </w:rPr>
      </w:pPr>
    </w:p>
    <w:p w:rsidR="00BE1110" w:rsidRPr="000A635E" w:rsidRDefault="00BE1110" w:rsidP="00BE1110">
      <w:pPr>
        <w:pStyle w:val="26"/>
        <w:shd w:val="clear" w:color="auto" w:fill="auto"/>
        <w:spacing w:before="0" w:after="111" w:line="240" w:lineRule="auto"/>
        <w:ind w:right="780" w:firstLine="851"/>
        <w:jc w:val="both"/>
        <w:rPr>
          <w:color w:val="000000" w:themeColor="text1"/>
          <w:sz w:val="24"/>
          <w:szCs w:val="24"/>
        </w:rPr>
      </w:pPr>
      <w:r w:rsidRPr="000A635E">
        <w:rPr>
          <w:color w:val="000000" w:themeColor="text1"/>
          <w:sz w:val="24"/>
          <w:szCs w:val="24"/>
        </w:rPr>
        <w:t xml:space="preserve">В </w:t>
      </w:r>
      <w:r w:rsidR="009230EC" w:rsidRPr="000A635E">
        <w:rPr>
          <w:color w:val="000000" w:themeColor="text1"/>
          <w:sz w:val="24"/>
          <w:szCs w:val="24"/>
        </w:rPr>
        <w:t>2018</w:t>
      </w:r>
      <w:r w:rsidRPr="000A635E">
        <w:rPr>
          <w:color w:val="000000" w:themeColor="text1"/>
          <w:sz w:val="24"/>
          <w:szCs w:val="24"/>
        </w:rPr>
        <w:t xml:space="preserve"> году отмечается снижение общей заболеваемости населения г</w:t>
      </w:r>
      <w:proofErr w:type="gramStart"/>
      <w:r w:rsidRPr="000A635E">
        <w:rPr>
          <w:color w:val="000000" w:themeColor="text1"/>
          <w:sz w:val="24"/>
          <w:szCs w:val="24"/>
        </w:rPr>
        <w:t>.Н</w:t>
      </w:r>
      <w:proofErr w:type="gramEnd"/>
      <w:r w:rsidRPr="000A635E">
        <w:rPr>
          <w:color w:val="000000" w:themeColor="text1"/>
          <w:sz w:val="24"/>
          <w:szCs w:val="24"/>
        </w:rPr>
        <w:t>ефтеюганска,  по сравнению с прошлым годом, на 1</w:t>
      </w:r>
      <w:r w:rsidR="00A10BDB" w:rsidRPr="000A635E">
        <w:rPr>
          <w:color w:val="000000" w:themeColor="text1"/>
          <w:sz w:val="24"/>
          <w:szCs w:val="24"/>
        </w:rPr>
        <w:t>,</w:t>
      </w:r>
      <w:r w:rsidRPr="000A635E">
        <w:rPr>
          <w:color w:val="000000" w:themeColor="text1"/>
          <w:sz w:val="24"/>
          <w:szCs w:val="24"/>
        </w:rPr>
        <w:t xml:space="preserve">6 %. В структуре возрастных групп, самый высокий уровень общей заболеваемости в г. Нефтеюганске регистрируется, по прежнему, у детей от 0 до 14 лет. По сравнению с прошлым годом, в этой возрастной группе отмечается снижение заболеваемости на </w:t>
      </w:r>
      <w:r w:rsidR="00A10BDB" w:rsidRPr="000A635E">
        <w:rPr>
          <w:color w:val="000000" w:themeColor="text1"/>
          <w:sz w:val="24"/>
          <w:szCs w:val="24"/>
        </w:rPr>
        <w:t xml:space="preserve">5,3 </w:t>
      </w:r>
      <w:r w:rsidRPr="000A635E">
        <w:rPr>
          <w:color w:val="000000" w:themeColor="text1"/>
          <w:sz w:val="24"/>
          <w:szCs w:val="24"/>
        </w:rPr>
        <w:t xml:space="preserve">%. Среди подростков 15-17 лет </w:t>
      </w:r>
      <w:r w:rsidRPr="000A635E">
        <w:rPr>
          <w:color w:val="000000" w:themeColor="text1"/>
          <w:sz w:val="24"/>
          <w:szCs w:val="24"/>
        </w:rPr>
        <w:lastRenderedPageBreak/>
        <w:t xml:space="preserve">заболеваемость снизилась, относительно </w:t>
      </w:r>
      <w:r w:rsidR="009230EC" w:rsidRPr="000A635E">
        <w:rPr>
          <w:color w:val="000000" w:themeColor="text1"/>
          <w:sz w:val="24"/>
          <w:szCs w:val="24"/>
        </w:rPr>
        <w:t>2017</w:t>
      </w:r>
      <w:r w:rsidRPr="000A635E">
        <w:rPr>
          <w:color w:val="000000" w:themeColor="text1"/>
          <w:sz w:val="24"/>
          <w:szCs w:val="24"/>
        </w:rPr>
        <w:t xml:space="preserve"> года, на </w:t>
      </w:r>
      <w:r w:rsidR="00A10BDB" w:rsidRPr="000A635E">
        <w:rPr>
          <w:color w:val="000000" w:themeColor="text1"/>
          <w:sz w:val="24"/>
          <w:szCs w:val="24"/>
        </w:rPr>
        <w:t>4,1</w:t>
      </w:r>
      <w:r w:rsidRPr="000A635E">
        <w:rPr>
          <w:color w:val="000000" w:themeColor="text1"/>
          <w:sz w:val="24"/>
          <w:szCs w:val="24"/>
        </w:rPr>
        <w:t xml:space="preserve"> %. У взрослых от 18 лет и старше отмечается снижение заболеваемости на </w:t>
      </w:r>
      <w:r w:rsidR="00A10BDB" w:rsidRPr="000A635E">
        <w:rPr>
          <w:color w:val="000000" w:themeColor="text1"/>
          <w:sz w:val="24"/>
          <w:szCs w:val="24"/>
        </w:rPr>
        <w:t>0,1</w:t>
      </w:r>
      <w:r w:rsidRPr="000A635E">
        <w:rPr>
          <w:color w:val="000000" w:themeColor="text1"/>
          <w:sz w:val="24"/>
          <w:szCs w:val="24"/>
        </w:rPr>
        <w:t xml:space="preserve"> %.</w:t>
      </w:r>
    </w:p>
    <w:p w:rsidR="00BE1110" w:rsidRPr="000A635E" w:rsidRDefault="00BE1110" w:rsidP="00BE1110">
      <w:pPr>
        <w:spacing w:after="200"/>
        <w:ind w:left="-284" w:firstLine="851"/>
        <w:jc w:val="both"/>
        <w:rPr>
          <w:rFonts w:eastAsiaTheme="minorEastAsia"/>
          <w:color w:val="FF0000"/>
          <w:sz w:val="22"/>
          <w:szCs w:val="22"/>
        </w:rPr>
      </w:pPr>
    </w:p>
    <w:p w:rsidR="00BE1110" w:rsidRPr="000A635E" w:rsidRDefault="00BE1110" w:rsidP="00BE1110">
      <w:pPr>
        <w:spacing w:after="200"/>
        <w:ind w:left="-284" w:firstLine="851"/>
        <w:jc w:val="center"/>
        <w:rPr>
          <w:rFonts w:eastAsiaTheme="minorEastAsia"/>
          <w:sz w:val="28"/>
          <w:szCs w:val="22"/>
        </w:rPr>
      </w:pPr>
      <w:r w:rsidRPr="000A635E">
        <w:rPr>
          <w:rFonts w:eastAsiaTheme="minorEastAsia"/>
          <w:noProof/>
          <w:sz w:val="28"/>
          <w:szCs w:val="22"/>
        </w:rPr>
        <w:drawing>
          <wp:inline distT="0" distB="0" distL="0" distR="0">
            <wp:extent cx="5116499" cy="3637722"/>
            <wp:effectExtent l="0" t="0" r="8255" b="1270"/>
            <wp:docPr id="44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E1110" w:rsidRPr="000A635E" w:rsidRDefault="00BE1110" w:rsidP="00BE1110">
      <w:pPr>
        <w:ind w:left="-284" w:right="679" w:firstLine="1418"/>
        <w:jc w:val="center"/>
        <w:rPr>
          <w:rFonts w:eastAsiaTheme="minorEastAsia"/>
          <w:sz w:val="21"/>
          <w:szCs w:val="21"/>
        </w:rPr>
      </w:pPr>
      <w:r w:rsidRPr="000A635E">
        <w:rPr>
          <w:rFonts w:eastAsiaTheme="minorEastAsia"/>
          <w:sz w:val="21"/>
          <w:szCs w:val="21"/>
        </w:rPr>
        <w:t>Рисунок №  5   «Динамика общей заболеваемости по приоритетным классам болезней в г. Нефтеюганске за 201</w:t>
      </w:r>
      <w:r w:rsidR="009230EC" w:rsidRPr="000A635E">
        <w:rPr>
          <w:rFonts w:eastAsiaTheme="minorEastAsia"/>
          <w:sz w:val="21"/>
          <w:szCs w:val="21"/>
        </w:rPr>
        <w:t>6</w:t>
      </w:r>
      <w:r w:rsidRPr="000A635E">
        <w:rPr>
          <w:rFonts w:eastAsiaTheme="minorEastAsia"/>
          <w:sz w:val="21"/>
          <w:szCs w:val="21"/>
        </w:rPr>
        <w:t xml:space="preserve"> – 201</w:t>
      </w:r>
      <w:r w:rsidR="009230EC" w:rsidRPr="000A635E">
        <w:rPr>
          <w:rFonts w:eastAsiaTheme="minorEastAsia"/>
          <w:sz w:val="21"/>
          <w:szCs w:val="21"/>
        </w:rPr>
        <w:t>8</w:t>
      </w:r>
      <w:r w:rsidRPr="000A635E">
        <w:rPr>
          <w:rFonts w:eastAsiaTheme="minorEastAsia"/>
          <w:sz w:val="21"/>
          <w:szCs w:val="21"/>
        </w:rPr>
        <w:t xml:space="preserve"> гг.»</w:t>
      </w:r>
    </w:p>
    <w:p w:rsidR="00BE1110" w:rsidRPr="000A635E" w:rsidRDefault="00BE1110" w:rsidP="00BE1110">
      <w:pPr>
        <w:ind w:left="-284" w:firstLine="851"/>
        <w:jc w:val="center"/>
        <w:rPr>
          <w:rFonts w:eastAsiaTheme="minorEastAsia"/>
          <w:sz w:val="22"/>
          <w:szCs w:val="22"/>
        </w:rPr>
      </w:pPr>
    </w:p>
    <w:p w:rsidR="00BE1110" w:rsidRPr="000A635E" w:rsidRDefault="00BE1110" w:rsidP="00BE1110">
      <w:pPr>
        <w:ind w:firstLine="851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В динамике за 3 года, в структуре возрастных групп, самый высокий уровень общей заболеваемости в г. Нефтеюганске регистрируется, по-прежнему, у детей от 0 до 14 лет. В этой возрастной группе отмечается увеличение заболеваемости на </w:t>
      </w:r>
      <w:r w:rsidR="0094726B" w:rsidRPr="000A635E">
        <w:rPr>
          <w:rFonts w:eastAsiaTheme="minorEastAsia"/>
          <w:color w:val="000000" w:themeColor="text1"/>
          <w:sz w:val="24"/>
          <w:szCs w:val="24"/>
        </w:rPr>
        <w:t>59,8</w:t>
      </w:r>
      <w:r w:rsidRPr="000A635E">
        <w:rPr>
          <w:rFonts w:eastAsiaTheme="minorEastAsia"/>
          <w:color w:val="000000" w:themeColor="text1"/>
          <w:sz w:val="24"/>
          <w:szCs w:val="24"/>
        </w:rPr>
        <w:t xml:space="preserve"> %.</w:t>
      </w:r>
      <w:r w:rsidRPr="000A635E">
        <w:rPr>
          <w:rFonts w:eastAsiaTheme="minorEastAsia"/>
          <w:sz w:val="24"/>
          <w:szCs w:val="24"/>
        </w:rPr>
        <w:t xml:space="preserve"> Среди подростков 15-17 лет заболеваемость увеличилась, относительно 201</w:t>
      </w:r>
      <w:r w:rsidR="00D3445F" w:rsidRPr="000A635E">
        <w:rPr>
          <w:rFonts w:eastAsiaTheme="minorEastAsia"/>
          <w:sz w:val="24"/>
          <w:szCs w:val="24"/>
        </w:rPr>
        <w:t>6</w:t>
      </w:r>
      <w:r w:rsidRPr="000A635E">
        <w:rPr>
          <w:rFonts w:eastAsiaTheme="minorEastAsia"/>
          <w:sz w:val="24"/>
          <w:szCs w:val="24"/>
        </w:rPr>
        <w:t xml:space="preserve"> года, на </w:t>
      </w:r>
      <w:r w:rsidR="00D3445F" w:rsidRPr="000A635E">
        <w:rPr>
          <w:rFonts w:eastAsiaTheme="minorEastAsia"/>
          <w:sz w:val="24"/>
          <w:szCs w:val="24"/>
        </w:rPr>
        <w:t>17,7</w:t>
      </w:r>
      <w:r w:rsidRPr="000A635E">
        <w:rPr>
          <w:rFonts w:eastAsiaTheme="minorEastAsia"/>
          <w:sz w:val="24"/>
          <w:szCs w:val="24"/>
        </w:rPr>
        <w:t xml:space="preserve"> %. У взрослых от 18 лет и старше отмечается увеличение заболеваемости на </w:t>
      </w:r>
      <w:r w:rsidR="00D3445F" w:rsidRPr="000A635E">
        <w:rPr>
          <w:rFonts w:eastAsiaTheme="minorEastAsia"/>
          <w:sz w:val="24"/>
          <w:szCs w:val="24"/>
        </w:rPr>
        <w:t>4,8</w:t>
      </w:r>
      <w:r w:rsidRPr="000A635E">
        <w:rPr>
          <w:rFonts w:eastAsiaTheme="minorEastAsia"/>
          <w:sz w:val="24"/>
          <w:szCs w:val="24"/>
        </w:rPr>
        <w:t xml:space="preserve"> % </w:t>
      </w:r>
    </w:p>
    <w:p w:rsidR="00BE1110" w:rsidRPr="000A635E" w:rsidRDefault="00BE1110" w:rsidP="00BE1110">
      <w:pPr>
        <w:ind w:left="-284" w:firstLine="851"/>
        <w:jc w:val="both"/>
        <w:rPr>
          <w:rFonts w:eastAsiaTheme="minorEastAsia"/>
          <w:sz w:val="24"/>
          <w:szCs w:val="24"/>
        </w:rPr>
      </w:pPr>
    </w:p>
    <w:p w:rsidR="00BE1110" w:rsidRPr="000A635E" w:rsidRDefault="00533FEC" w:rsidP="000A635E">
      <w:pPr>
        <w:spacing w:line="276" w:lineRule="auto"/>
        <w:jc w:val="right"/>
        <w:rPr>
          <w:rFonts w:eastAsiaTheme="minorEastAsia"/>
          <w:sz w:val="22"/>
          <w:szCs w:val="22"/>
        </w:rPr>
      </w:pPr>
      <w:r w:rsidRPr="000A635E">
        <w:rPr>
          <w:rFonts w:eastAsiaTheme="minorEastAsia"/>
          <w:sz w:val="22"/>
          <w:szCs w:val="22"/>
        </w:rPr>
        <w:t>Таблица № 21</w:t>
      </w:r>
    </w:p>
    <w:p w:rsidR="00BE1110" w:rsidRPr="000A635E" w:rsidRDefault="00BE1110" w:rsidP="00BE1110">
      <w:pPr>
        <w:ind w:left="-284" w:firstLine="851"/>
        <w:jc w:val="center"/>
        <w:rPr>
          <w:rFonts w:eastAsiaTheme="minorEastAsia"/>
          <w:b/>
          <w:sz w:val="22"/>
          <w:szCs w:val="22"/>
        </w:rPr>
      </w:pPr>
      <w:r w:rsidRPr="000A635E">
        <w:rPr>
          <w:rFonts w:eastAsiaTheme="minorEastAsia"/>
          <w:b/>
          <w:sz w:val="22"/>
          <w:szCs w:val="22"/>
        </w:rPr>
        <w:t xml:space="preserve">Показатели общей заболеваемости по возрастным группам  </w:t>
      </w:r>
    </w:p>
    <w:p w:rsidR="00BE1110" w:rsidRDefault="00BE1110" w:rsidP="00BE1110">
      <w:pPr>
        <w:ind w:left="-284" w:firstLine="851"/>
        <w:jc w:val="center"/>
        <w:rPr>
          <w:rFonts w:eastAsiaTheme="minorEastAsia"/>
          <w:b/>
          <w:sz w:val="22"/>
          <w:szCs w:val="22"/>
        </w:rPr>
      </w:pPr>
      <w:r w:rsidRPr="000A635E">
        <w:rPr>
          <w:rFonts w:eastAsiaTheme="minorEastAsia"/>
          <w:b/>
          <w:sz w:val="22"/>
          <w:szCs w:val="22"/>
        </w:rPr>
        <w:t>в г. Нефтеюганске за 201</w:t>
      </w:r>
      <w:r w:rsidR="00A10BDB" w:rsidRPr="000A635E">
        <w:rPr>
          <w:rFonts w:eastAsiaTheme="minorEastAsia"/>
          <w:b/>
          <w:sz w:val="22"/>
          <w:szCs w:val="22"/>
        </w:rPr>
        <w:t>6</w:t>
      </w:r>
      <w:r w:rsidRPr="000A635E">
        <w:rPr>
          <w:rFonts w:eastAsiaTheme="minorEastAsia"/>
          <w:b/>
          <w:sz w:val="22"/>
          <w:szCs w:val="22"/>
        </w:rPr>
        <w:t xml:space="preserve"> – 201</w:t>
      </w:r>
      <w:r w:rsidR="00A10BDB" w:rsidRPr="000A635E">
        <w:rPr>
          <w:rFonts w:eastAsiaTheme="minorEastAsia"/>
          <w:b/>
          <w:sz w:val="22"/>
          <w:szCs w:val="22"/>
        </w:rPr>
        <w:t>8</w:t>
      </w:r>
      <w:r w:rsidRPr="000A635E">
        <w:rPr>
          <w:rFonts w:eastAsiaTheme="minorEastAsia"/>
          <w:b/>
          <w:sz w:val="22"/>
          <w:szCs w:val="22"/>
        </w:rPr>
        <w:t xml:space="preserve"> гг.</w:t>
      </w:r>
    </w:p>
    <w:p w:rsidR="000A635E" w:rsidRPr="000A635E" w:rsidRDefault="000A635E" w:rsidP="00BE1110">
      <w:pPr>
        <w:ind w:left="-284"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7797" w:type="dxa"/>
        <w:jc w:val="center"/>
        <w:tblLayout w:type="fixed"/>
        <w:tblLook w:val="0000" w:firstRow="0" w:lastRow="0" w:firstColumn="0" w:lastColumn="0" w:noHBand="0" w:noVBand="0"/>
      </w:tblPr>
      <w:tblGrid>
        <w:gridCol w:w="2552"/>
        <w:gridCol w:w="1843"/>
        <w:gridCol w:w="1701"/>
        <w:gridCol w:w="1701"/>
      </w:tblGrid>
      <w:tr w:rsidR="00A10BDB" w:rsidRPr="000A635E" w:rsidTr="000722C5">
        <w:trPr>
          <w:trHeight w:val="48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BDB" w:rsidRPr="000A635E" w:rsidRDefault="00A10BDB" w:rsidP="000722C5">
            <w:pPr>
              <w:spacing w:before="20" w:after="20"/>
              <w:ind w:left="-284" w:firstLine="851"/>
              <w:jc w:val="center"/>
              <w:rPr>
                <w:rFonts w:eastAsiaTheme="minorEastAsia"/>
                <w:sz w:val="22"/>
                <w:szCs w:val="22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BDB" w:rsidRPr="000A635E" w:rsidRDefault="00A10BDB" w:rsidP="00D8523A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2016г.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BDB" w:rsidRPr="000A635E" w:rsidRDefault="00A10BDB" w:rsidP="00D8523A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2017г.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DB" w:rsidRPr="000A635E" w:rsidRDefault="00A10BDB" w:rsidP="00A10BDB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2018г.</w:t>
            </w:r>
          </w:p>
        </w:tc>
      </w:tr>
      <w:tr w:rsidR="00A10BDB" w:rsidRPr="000A635E" w:rsidTr="000722C5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BDB" w:rsidRPr="000A635E" w:rsidRDefault="00A10BDB" w:rsidP="000722C5">
            <w:pPr>
              <w:spacing w:before="20" w:after="20"/>
              <w:ind w:left="-22" w:firstLine="22"/>
              <w:jc w:val="center"/>
              <w:rPr>
                <w:rFonts w:eastAsiaTheme="minorEastAsia"/>
                <w:sz w:val="22"/>
                <w:szCs w:val="22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Дети 0-14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BDB" w:rsidRPr="000A635E" w:rsidRDefault="00A10BDB" w:rsidP="00D8523A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2409,2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BDB" w:rsidRPr="000A635E" w:rsidRDefault="00A10BDB" w:rsidP="00D8523A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4056,7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BDB" w:rsidRPr="000A635E" w:rsidRDefault="00A10BDB" w:rsidP="00803F18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3850,2</w:t>
            </w:r>
          </w:p>
        </w:tc>
      </w:tr>
      <w:tr w:rsidR="00A10BDB" w:rsidRPr="000A635E" w:rsidTr="000722C5">
        <w:trPr>
          <w:trHeight w:val="27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BDB" w:rsidRPr="000A635E" w:rsidRDefault="00A10BDB" w:rsidP="000722C5">
            <w:pPr>
              <w:spacing w:before="20" w:after="20"/>
              <w:ind w:hanging="21"/>
              <w:jc w:val="center"/>
              <w:rPr>
                <w:rFonts w:eastAsiaTheme="minorEastAsia"/>
                <w:sz w:val="22"/>
                <w:szCs w:val="22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Подростки 15-17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BDB" w:rsidRPr="000A635E" w:rsidRDefault="00A10BDB" w:rsidP="00D8523A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1972,2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BDB" w:rsidRPr="000A635E" w:rsidRDefault="00A10BDB" w:rsidP="00D8523A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2322,8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0BDB" w:rsidRPr="000A635E" w:rsidRDefault="00A10BDB" w:rsidP="000722C5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2229,5</w:t>
            </w:r>
          </w:p>
        </w:tc>
      </w:tr>
      <w:tr w:rsidR="00A10BDB" w:rsidRPr="000A635E" w:rsidTr="000722C5">
        <w:trPr>
          <w:trHeight w:val="27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BDB" w:rsidRPr="000A635E" w:rsidRDefault="00A10BDB" w:rsidP="000722C5">
            <w:pPr>
              <w:spacing w:before="20" w:after="20"/>
              <w:ind w:left="-22" w:firstLine="22"/>
              <w:jc w:val="center"/>
              <w:rPr>
                <w:rFonts w:eastAsiaTheme="minorEastAsia"/>
                <w:sz w:val="22"/>
                <w:szCs w:val="22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Взрослые 18 лет и старше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BDB" w:rsidRPr="000A635E" w:rsidRDefault="00A10BDB" w:rsidP="00D8523A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1162,7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BDB" w:rsidRPr="000A635E" w:rsidRDefault="00A10BDB" w:rsidP="00D8523A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1218,7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DB" w:rsidRPr="000A635E" w:rsidRDefault="00A10BDB" w:rsidP="000722C5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1217,4</w:t>
            </w:r>
          </w:p>
        </w:tc>
      </w:tr>
    </w:tbl>
    <w:p w:rsidR="00BE1110" w:rsidRPr="000A635E" w:rsidRDefault="00BE1110" w:rsidP="00BE1110">
      <w:pPr>
        <w:spacing w:after="200"/>
        <w:ind w:left="-284" w:firstLine="851"/>
        <w:jc w:val="center"/>
        <w:rPr>
          <w:rFonts w:eastAsiaTheme="minorEastAsia"/>
          <w:sz w:val="22"/>
          <w:szCs w:val="22"/>
        </w:rPr>
      </w:pPr>
      <w:r w:rsidRPr="000A635E">
        <w:rPr>
          <w:rFonts w:eastAsiaTheme="minorEastAsia"/>
          <w:noProof/>
          <w:sz w:val="22"/>
          <w:szCs w:val="22"/>
        </w:rPr>
        <w:lastRenderedPageBreak/>
        <w:drawing>
          <wp:inline distT="0" distB="0" distL="0" distR="0">
            <wp:extent cx="5030857" cy="2266121"/>
            <wp:effectExtent l="19050" t="0" r="17393" b="829"/>
            <wp:docPr id="45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1110" w:rsidRPr="000A635E" w:rsidRDefault="00BE1110" w:rsidP="00BE1110">
      <w:pPr>
        <w:ind w:left="-284" w:firstLine="851"/>
        <w:jc w:val="center"/>
        <w:rPr>
          <w:rFonts w:eastAsiaTheme="minorEastAsia"/>
          <w:sz w:val="21"/>
          <w:szCs w:val="21"/>
        </w:rPr>
      </w:pPr>
      <w:r w:rsidRPr="000A635E">
        <w:rPr>
          <w:rFonts w:eastAsiaTheme="minorEastAsia"/>
          <w:sz w:val="21"/>
          <w:szCs w:val="21"/>
        </w:rPr>
        <w:t>Рисунок №6   «Динамика показателей заболеваемости по возрастным группам за период с 201</w:t>
      </w:r>
      <w:r w:rsidR="0094726B" w:rsidRPr="000A635E">
        <w:rPr>
          <w:rFonts w:eastAsiaTheme="minorEastAsia"/>
          <w:sz w:val="21"/>
          <w:szCs w:val="21"/>
        </w:rPr>
        <w:t>6</w:t>
      </w:r>
      <w:r w:rsidRPr="000A635E">
        <w:rPr>
          <w:rFonts w:eastAsiaTheme="minorEastAsia"/>
          <w:sz w:val="21"/>
          <w:szCs w:val="21"/>
        </w:rPr>
        <w:t xml:space="preserve"> по 201</w:t>
      </w:r>
      <w:r w:rsidR="0094726B" w:rsidRPr="000A635E">
        <w:rPr>
          <w:rFonts w:eastAsiaTheme="minorEastAsia"/>
          <w:sz w:val="21"/>
          <w:szCs w:val="21"/>
        </w:rPr>
        <w:t>8</w:t>
      </w:r>
      <w:r w:rsidRPr="000A635E">
        <w:rPr>
          <w:rFonts w:eastAsiaTheme="minorEastAsia"/>
          <w:sz w:val="21"/>
          <w:szCs w:val="21"/>
        </w:rPr>
        <w:t xml:space="preserve"> гг.»</w:t>
      </w:r>
    </w:p>
    <w:p w:rsidR="00D61E70" w:rsidRPr="000A635E" w:rsidRDefault="00D61E70" w:rsidP="00D61E70">
      <w:pPr>
        <w:ind w:left="-284" w:firstLine="851"/>
        <w:rPr>
          <w:rFonts w:eastAsiaTheme="minorEastAsia"/>
          <w:sz w:val="21"/>
          <w:szCs w:val="21"/>
        </w:rPr>
      </w:pPr>
      <w:r w:rsidRPr="000A635E"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6219645" cy="6349041"/>
            <wp:effectExtent l="0" t="0" r="0" b="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C1BF1" w:rsidRPr="000A635E" w:rsidRDefault="00BC1BF1" w:rsidP="00BC1BF1">
      <w:pPr>
        <w:spacing w:after="200" w:line="276" w:lineRule="auto"/>
        <w:rPr>
          <w:rFonts w:eastAsiaTheme="minorEastAsia"/>
          <w:sz w:val="21"/>
          <w:szCs w:val="21"/>
        </w:rPr>
      </w:pPr>
      <w:r w:rsidRPr="000A635E">
        <w:rPr>
          <w:rFonts w:eastAsiaTheme="minorEastAsia"/>
          <w:sz w:val="21"/>
          <w:szCs w:val="21"/>
        </w:rPr>
        <w:t>Рисунок № 6   «Структура общей заболеваемости по нозологическим группам (все население) за 201</w:t>
      </w:r>
      <w:r w:rsidR="0094726B" w:rsidRPr="000A635E">
        <w:rPr>
          <w:rFonts w:eastAsiaTheme="minorEastAsia"/>
          <w:sz w:val="21"/>
          <w:szCs w:val="21"/>
        </w:rPr>
        <w:t>8</w:t>
      </w:r>
      <w:r w:rsidRPr="000A635E">
        <w:rPr>
          <w:rFonts w:eastAsiaTheme="minorEastAsia"/>
          <w:sz w:val="21"/>
          <w:szCs w:val="21"/>
        </w:rPr>
        <w:t>г.</w:t>
      </w:r>
    </w:p>
    <w:p w:rsidR="00BE1110" w:rsidRPr="000A635E" w:rsidRDefault="00BC1BF1" w:rsidP="00BC1BF1">
      <w:pPr>
        <w:spacing w:after="200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>В структуре общей заболеваемости всего населения в г</w:t>
      </w:r>
      <w:proofErr w:type="gramStart"/>
      <w:r w:rsidRPr="000A635E">
        <w:rPr>
          <w:rFonts w:eastAsiaTheme="minorEastAsia"/>
          <w:sz w:val="24"/>
          <w:szCs w:val="24"/>
        </w:rPr>
        <w:t>.Н</w:t>
      </w:r>
      <w:proofErr w:type="gramEnd"/>
      <w:r w:rsidRPr="000A635E">
        <w:rPr>
          <w:rFonts w:eastAsiaTheme="minorEastAsia"/>
          <w:sz w:val="24"/>
          <w:szCs w:val="24"/>
        </w:rPr>
        <w:t>ефтеюганске первое место занимают болезни органов дыхания (3</w:t>
      </w:r>
      <w:r w:rsidR="00D046ED" w:rsidRPr="000A635E">
        <w:rPr>
          <w:rFonts w:eastAsiaTheme="minorEastAsia"/>
          <w:sz w:val="24"/>
          <w:szCs w:val="24"/>
        </w:rPr>
        <w:t>8</w:t>
      </w:r>
      <w:r w:rsidRPr="000A635E">
        <w:rPr>
          <w:rFonts w:eastAsiaTheme="minorEastAsia"/>
          <w:sz w:val="24"/>
          <w:szCs w:val="24"/>
        </w:rPr>
        <w:t>,</w:t>
      </w:r>
      <w:r w:rsidR="00D046ED" w:rsidRPr="000A635E">
        <w:rPr>
          <w:rFonts w:eastAsiaTheme="minorEastAsia"/>
          <w:sz w:val="24"/>
          <w:szCs w:val="24"/>
        </w:rPr>
        <w:t>1</w:t>
      </w:r>
      <w:r w:rsidRPr="000A635E">
        <w:rPr>
          <w:rFonts w:eastAsiaTheme="minorEastAsia"/>
          <w:sz w:val="24"/>
          <w:szCs w:val="24"/>
        </w:rPr>
        <w:t xml:space="preserve">4% - </w:t>
      </w:r>
      <w:r w:rsidR="00D046ED" w:rsidRPr="000A635E">
        <w:rPr>
          <w:rFonts w:eastAsiaTheme="minorEastAsia"/>
          <w:sz w:val="24"/>
          <w:szCs w:val="24"/>
        </w:rPr>
        <w:t>671,4</w:t>
      </w:r>
      <w:r w:rsidRPr="000A635E">
        <w:rPr>
          <w:rFonts w:eastAsiaTheme="minorEastAsia"/>
          <w:sz w:val="24"/>
          <w:szCs w:val="24"/>
        </w:rPr>
        <w:t xml:space="preserve"> случая на 1000 населения); далее – </w:t>
      </w:r>
      <w:r w:rsidR="00D046ED" w:rsidRPr="000A635E">
        <w:rPr>
          <w:rFonts w:eastAsiaTheme="minorEastAsia"/>
          <w:sz w:val="24"/>
          <w:szCs w:val="24"/>
        </w:rPr>
        <w:t xml:space="preserve">болезни костно-мышечной системы </w:t>
      </w:r>
      <w:r w:rsidRPr="000A635E">
        <w:rPr>
          <w:rFonts w:eastAsiaTheme="minorEastAsia"/>
          <w:sz w:val="24"/>
          <w:szCs w:val="24"/>
        </w:rPr>
        <w:t>(</w:t>
      </w:r>
      <w:r w:rsidR="00D046ED" w:rsidRPr="000A635E">
        <w:rPr>
          <w:rFonts w:eastAsiaTheme="minorEastAsia"/>
          <w:sz w:val="24"/>
          <w:szCs w:val="24"/>
        </w:rPr>
        <w:t>10,66</w:t>
      </w:r>
      <w:r w:rsidRPr="000A635E">
        <w:rPr>
          <w:rFonts w:eastAsiaTheme="minorEastAsia"/>
          <w:sz w:val="24"/>
          <w:szCs w:val="24"/>
        </w:rPr>
        <w:t xml:space="preserve"> % - </w:t>
      </w:r>
      <w:r w:rsidR="00D046ED" w:rsidRPr="000A635E">
        <w:rPr>
          <w:rFonts w:eastAsiaTheme="minorEastAsia"/>
          <w:sz w:val="24"/>
          <w:szCs w:val="24"/>
        </w:rPr>
        <w:t xml:space="preserve">187,6 </w:t>
      </w:r>
      <w:r w:rsidRPr="000A635E">
        <w:rPr>
          <w:rFonts w:eastAsiaTheme="minorEastAsia"/>
          <w:sz w:val="24"/>
          <w:szCs w:val="24"/>
        </w:rPr>
        <w:t xml:space="preserve">случая на 1000 населения), </w:t>
      </w:r>
      <w:r w:rsidR="00D046ED" w:rsidRPr="000A635E">
        <w:rPr>
          <w:rFonts w:eastAsiaTheme="minorEastAsia"/>
          <w:sz w:val="24"/>
          <w:szCs w:val="24"/>
        </w:rPr>
        <w:t xml:space="preserve">болезни органов кровообращения </w:t>
      </w:r>
      <w:r w:rsidRPr="000A635E">
        <w:rPr>
          <w:rFonts w:eastAsiaTheme="minorEastAsia"/>
          <w:sz w:val="24"/>
          <w:szCs w:val="24"/>
        </w:rPr>
        <w:t>(</w:t>
      </w:r>
      <w:r w:rsidR="00D046ED" w:rsidRPr="000A635E">
        <w:rPr>
          <w:rFonts w:eastAsiaTheme="minorEastAsia"/>
          <w:sz w:val="24"/>
          <w:szCs w:val="24"/>
        </w:rPr>
        <w:t>9,5</w:t>
      </w:r>
      <w:r w:rsidRPr="000A635E">
        <w:rPr>
          <w:rFonts w:eastAsiaTheme="minorEastAsia"/>
          <w:sz w:val="24"/>
          <w:szCs w:val="24"/>
        </w:rPr>
        <w:t xml:space="preserve">% - </w:t>
      </w:r>
      <w:r w:rsidR="00D046ED" w:rsidRPr="000A635E">
        <w:rPr>
          <w:rFonts w:eastAsiaTheme="minorEastAsia"/>
          <w:sz w:val="24"/>
          <w:szCs w:val="24"/>
        </w:rPr>
        <w:t xml:space="preserve">167,2 </w:t>
      </w:r>
      <w:r w:rsidRPr="000A635E">
        <w:rPr>
          <w:rFonts w:eastAsiaTheme="minorEastAsia"/>
          <w:sz w:val="24"/>
          <w:szCs w:val="24"/>
        </w:rPr>
        <w:t>случа</w:t>
      </w:r>
      <w:r w:rsidR="002A0CD2" w:rsidRPr="000A635E">
        <w:rPr>
          <w:rFonts w:eastAsiaTheme="minorEastAsia"/>
          <w:sz w:val="24"/>
          <w:szCs w:val="24"/>
        </w:rPr>
        <w:t>я</w:t>
      </w:r>
      <w:r w:rsidRPr="000A635E">
        <w:rPr>
          <w:rFonts w:eastAsiaTheme="minorEastAsia"/>
          <w:sz w:val="24"/>
          <w:szCs w:val="24"/>
        </w:rPr>
        <w:t xml:space="preserve"> на 1000 населения).</w:t>
      </w:r>
    </w:p>
    <w:p w:rsidR="008D4D7F" w:rsidRPr="000A635E" w:rsidRDefault="008D4D7F" w:rsidP="00C21DC4">
      <w:pPr>
        <w:spacing w:after="200" w:line="276" w:lineRule="auto"/>
        <w:jc w:val="center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6426679" cy="6211018"/>
            <wp:effectExtent l="0" t="0" r="0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C1BF1" w:rsidRPr="000A635E" w:rsidRDefault="00BC1BF1" w:rsidP="00BC1BF1">
      <w:pPr>
        <w:jc w:val="center"/>
        <w:rPr>
          <w:rFonts w:eastAsiaTheme="minorEastAsia"/>
          <w:sz w:val="21"/>
          <w:szCs w:val="21"/>
        </w:rPr>
      </w:pPr>
      <w:r w:rsidRPr="000A635E">
        <w:rPr>
          <w:rFonts w:eastAsiaTheme="minorEastAsia"/>
          <w:sz w:val="21"/>
          <w:szCs w:val="21"/>
        </w:rPr>
        <w:t>Рисунок № 7   «Структура общей заболеваемости по нозологическим группам (дети) за 20</w:t>
      </w:r>
      <w:r w:rsidR="0050282B" w:rsidRPr="000A635E">
        <w:rPr>
          <w:rFonts w:eastAsiaTheme="minorEastAsia"/>
          <w:sz w:val="21"/>
          <w:szCs w:val="21"/>
        </w:rPr>
        <w:t>18</w:t>
      </w:r>
      <w:r w:rsidRPr="000A635E">
        <w:rPr>
          <w:rFonts w:eastAsiaTheme="minorEastAsia"/>
          <w:sz w:val="21"/>
          <w:szCs w:val="21"/>
        </w:rPr>
        <w:t>г.</w:t>
      </w:r>
    </w:p>
    <w:p w:rsidR="00BC1BF1" w:rsidRPr="000A635E" w:rsidRDefault="00BC1BF1" w:rsidP="00BC1BF1">
      <w:pPr>
        <w:rPr>
          <w:rFonts w:eastAsiaTheme="minorEastAsia"/>
          <w:sz w:val="21"/>
          <w:szCs w:val="21"/>
        </w:rPr>
      </w:pPr>
    </w:p>
    <w:p w:rsidR="00BC1BF1" w:rsidRPr="000A635E" w:rsidRDefault="00BC1BF1" w:rsidP="00BC1BF1">
      <w:pPr>
        <w:rPr>
          <w:rFonts w:eastAsiaTheme="minorEastAsia"/>
          <w:sz w:val="24"/>
          <w:szCs w:val="21"/>
        </w:rPr>
      </w:pPr>
      <w:r w:rsidRPr="000A635E">
        <w:rPr>
          <w:rFonts w:eastAsiaTheme="minorEastAsia"/>
          <w:sz w:val="24"/>
          <w:szCs w:val="21"/>
        </w:rPr>
        <w:t>В структуре общей заболеваемости детей в г</w:t>
      </w:r>
      <w:proofErr w:type="gramStart"/>
      <w:r w:rsidRPr="000A635E">
        <w:rPr>
          <w:rFonts w:eastAsiaTheme="minorEastAsia"/>
          <w:sz w:val="24"/>
          <w:szCs w:val="21"/>
        </w:rPr>
        <w:t>.Н</w:t>
      </w:r>
      <w:proofErr w:type="gramEnd"/>
      <w:r w:rsidRPr="000A635E">
        <w:rPr>
          <w:rFonts w:eastAsiaTheme="minorEastAsia"/>
          <w:sz w:val="24"/>
          <w:szCs w:val="21"/>
        </w:rPr>
        <w:t>ефтеюганске первое место занимают болезни органов дыхания (</w:t>
      </w:r>
      <w:r w:rsidR="002A0CD2" w:rsidRPr="000A635E">
        <w:rPr>
          <w:rFonts w:eastAsiaTheme="minorEastAsia"/>
          <w:sz w:val="24"/>
          <w:szCs w:val="21"/>
        </w:rPr>
        <w:t>6</w:t>
      </w:r>
      <w:r w:rsidR="0050282B" w:rsidRPr="000A635E">
        <w:rPr>
          <w:rFonts w:eastAsiaTheme="minorEastAsia"/>
          <w:sz w:val="24"/>
          <w:szCs w:val="21"/>
        </w:rPr>
        <w:t>5</w:t>
      </w:r>
      <w:r w:rsidR="002A0CD2" w:rsidRPr="000A635E">
        <w:rPr>
          <w:rFonts w:eastAsiaTheme="minorEastAsia"/>
          <w:sz w:val="24"/>
          <w:szCs w:val="21"/>
        </w:rPr>
        <w:t>,</w:t>
      </w:r>
      <w:r w:rsidR="0050282B" w:rsidRPr="000A635E">
        <w:rPr>
          <w:rFonts w:eastAsiaTheme="minorEastAsia"/>
          <w:sz w:val="24"/>
          <w:szCs w:val="21"/>
        </w:rPr>
        <w:t>73</w:t>
      </w:r>
      <w:r w:rsidRPr="000A635E">
        <w:rPr>
          <w:rFonts w:eastAsiaTheme="minorEastAsia"/>
          <w:sz w:val="24"/>
          <w:szCs w:val="21"/>
        </w:rPr>
        <w:t xml:space="preserve">% - </w:t>
      </w:r>
      <w:r w:rsidR="0050282B" w:rsidRPr="000A635E">
        <w:rPr>
          <w:rFonts w:eastAsiaTheme="minorEastAsia"/>
          <w:sz w:val="24"/>
          <w:szCs w:val="21"/>
        </w:rPr>
        <w:t xml:space="preserve">2530,8 </w:t>
      </w:r>
      <w:r w:rsidRPr="000A635E">
        <w:rPr>
          <w:rFonts w:eastAsiaTheme="minorEastAsia"/>
          <w:sz w:val="24"/>
          <w:szCs w:val="21"/>
        </w:rPr>
        <w:t xml:space="preserve">случая на 1000 детей); далее – </w:t>
      </w:r>
      <w:r w:rsidR="0050282B" w:rsidRPr="000A635E">
        <w:rPr>
          <w:rFonts w:eastAsiaTheme="minorEastAsia"/>
          <w:sz w:val="24"/>
          <w:szCs w:val="21"/>
        </w:rPr>
        <w:t xml:space="preserve">болезни нервной системы </w:t>
      </w:r>
      <w:r w:rsidRPr="000A635E">
        <w:rPr>
          <w:rFonts w:eastAsiaTheme="minorEastAsia"/>
          <w:sz w:val="24"/>
          <w:szCs w:val="21"/>
        </w:rPr>
        <w:t>(</w:t>
      </w:r>
      <w:r w:rsidR="0050282B" w:rsidRPr="000A635E">
        <w:rPr>
          <w:rFonts w:eastAsiaTheme="minorEastAsia"/>
          <w:sz w:val="24"/>
          <w:szCs w:val="21"/>
        </w:rPr>
        <w:t>6,2</w:t>
      </w:r>
      <w:r w:rsidRPr="000A635E">
        <w:rPr>
          <w:rFonts w:eastAsiaTheme="minorEastAsia"/>
          <w:sz w:val="24"/>
          <w:szCs w:val="21"/>
        </w:rPr>
        <w:t xml:space="preserve"> % - </w:t>
      </w:r>
      <w:r w:rsidR="0050282B" w:rsidRPr="000A635E">
        <w:rPr>
          <w:rFonts w:eastAsiaTheme="minorEastAsia"/>
          <w:sz w:val="24"/>
          <w:szCs w:val="21"/>
        </w:rPr>
        <w:t>238,9</w:t>
      </w:r>
      <w:r w:rsidRPr="000A635E">
        <w:rPr>
          <w:rFonts w:eastAsiaTheme="minorEastAsia"/>
          <w:sz w:val="24"/>
          <w:szCs w:val="21"/>
        </w:rPr>
        <w:t xml:space="preserve"> случая на 1000 детей), </w:t>
      </w:r>
      <w:r w:rsidR="0050282B" w:rsidRPr="000A635E">
        <w:rPr>
          <w:rFonts w:eastAsiaTheme="minorEastAsia"/>
          <w:sz w:val="24"/>
          <w:szCs w:val="21"/>
        </w:rPr>
        <w:t xml:space="preserve">болезни глаза и его придаточного аппарата </w:t>
      </w:r>
      <w:r w:rsidRPr="000A635E">
        <w:rPr>
          <w:rFonts w:eastAsiaTheme="minorEastAsia"/>
          <w:sz w:val="24"/>
          <w:szCs w:val="21"/>
        </w:rPr>
        <w:t>(</w:t>
      </w:r>
      <w:r w:rsidR="0050282B" w:rsidRPr="000A635E">
        <w:rPr>
          <w:rFonts w:eastAsiaTheme="minorEastAsia"/>
          <w:sz w:val="24"/>
          <w:szCs w:val="21"/>
        </w:rPr>
        <w:t xml:space="preserve">5,03 </w:t>
      </w:r>
      <w:r w:rsidRPr="000A635E">
        <w:rPr>
          <w:rFonts w:eastAsiaTheme="minorEastAsia"/>
          <w:sz w:val="24"/>
          <w:szCs w:val="21"/>
        </w:rPr>
        <w:t xml:space="preserve">% - </w:t>
      </w:r>
      <w:r w:rsidR="0050282B" w:rsidRPr="000A635E">
        <w:rPr>
          <w:rFonts w:eastAsiaTheme="minorEastAsia"/>
          <w:sz w:val="24"/>
          <w:szCs w:val="21"/>
        </w:rPr>
        <w:t xml:space="preserve">193,8 </w:t>
      </w:r>
      <w:r w:rsidRPr="000A635E">
        <w:rPr>
          <w:rFonts w:eastAsiaTheme="minorEastAsia"/>
          <w:sz w:val="24"/>
          <w:szCs w:val="21"/>
        </w:rPr>
        <w:t>случая на 1000 детей).</w:t>
      </w:r>
    </w:p>
    <w:p w:rsidR="008D4D7F" w:rsidRPr="000A635E" w:rsidRDefault="008D4D7F">
      <w:pPr>
        <w:spacing w:after="200" w:line="276" w:lineRule="auto"/>
        <w:rPr>
          <w:rFonts w:eastAsiaTheme="minorEastAsia"/>
          <w:sz w:val="24"/>
          <w:szCs w:val="24"/>
        </w:rPr>
      </w:pPr>
    </w:p>
    <w:p w:rsidR="0022753D" w:rsidRPr="000A635E" w:rsidRDefault="0022753D">
      <w:pPr>
        <w:spacing w:after="200" w:line="276" w:lineRule="auto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6426679" cy="6211018"/>
            <wp:effectExtent l="0" t="0" r="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C1BF1" w:rsidRPr="000A635E" w:rsidRDefault="00BC1BF1" w:rsidP="00BC1BF1">
      <w:pPr>
        <w:spacing w:after="200" w:line="276" w:lineRule="auto"/>
        <w:rPr>
          <w:rFonts w:eastAsiaTheme="minorEastAsia"/>
        </w:rPr>
      </w:pPr>
      <w:r w:rsidRPr="000A635E">
        <w:rPr>
          <w:rFonts w:eastAsiaTheme="minorEastAsia"/>
          <w:sz w:val="21"/>
          <w:szCs w:val="21"/>
        </w:rPr>
        <w:t>Рисунок № 8  «Структура общей заболеваемости по нозологическим группам (подростки) за 201</w:t>
      </w:r>
      <w:r w:rsidR="0050282B" w:rsidRPr="000A635E">
        <w:rPr>
          <w:rFonts w:eastAsiaTheme="minorEastAsia"/>
          <w:sz w:val="21"/>
          <w:szCs w:val="21"/>
        </w:rPr>
        <w:t>8</w:t>
      </w:r>
      <w:r w:rsidRPr="000A635E">
        <w:rPr>
          <w:rFonts w:eastAsiaTheme="minorEastAsia"/>
          <w:sz w:val="21"/>
          <w:szCs w:val="21"/>
        </w:rPr>
        <w:t>г.</w:t>
      </w:r>
    </w:p>
    <w:p w:rsidR="00BC1BF1" w:rsidRPr="000A635E" w:rsidRDefault="00BC1BF1" w:rsidP="00BC1BF1">
      <w:pPr>
        <w:tabs>
          <w:tab w:val="left" w:pos="3715"/>
        </w:tabs>
        <w:rPr>
          <w:rFonts w:eastAsiaTheme="minorEastAsia"/>
          <w:sz w:val="24"/>
        </w:rPr>
      </w:pPr>
      <w:r w:rsidRPr="000A635E">
        <w:rPr>
          <w:rFonts w:eastAsiaTheme="minorEastAsia"/>
          <w:sz w:val="24"/>
          <w:szCs w:val="21"/>
        </w:rPr>
        <w:t>В структуре общей заболеваемости подростков в г</w:t>
      </w:r>
      <w:proofErr w:type="gramStart"/>
      <w:r w:rsidRPr="000A635E">
        <w:rPr>
          <w:rFonts w:eastAsiaTheme="minorEastAsia"/>
          <w:sz w:val="24"/>
          <w:szCs w:val="21"/>
        </w:rPr>
        <w:t>.Н</w:t>
      </w:r>
      <w:proofErr w:type="gramEnd"/>
      <w:r w:rsidRPr="000A635E">
        <w:rPr>
          <w:rFonts w:eastAsiaTheme="minorEastAsia"/>
          <w:sz w:val="24"/>
          <w:szCs w:val="21"/>
        </w:rPr>
        <w:t>ефтеюганске первое место занимают болезни органов дыхания (</w:t>
      </w:r>
      <w:r w:rsidR="0050282B" w:rsidRPr="000A635E">
        <w:rPr>
          <w:rFonts w:eastAsiaTheme="minorEastAsia"/>
          <w:sz w:val="24"/>
          <w:szCs w:val="21"/>
        </w:rPr>
        <w:t>33,83</w:t>
      </w:r>
      <w:r w:rsidRPr="000A635E">
        <w:rPr>
          <w:rFonts w:eastAsiaTheme="minorEastAsia"/>
          <w:sz w:val="24"/>
          <w:szCs w:val="21"/>
        </w:rPr>
        <w:t xml:space="preserve"> % - </w:t>
      </w:r>
      <w:r w:rsidR="0050282B" w:rsidRPr="000A635E">
        <w:rPr>
          <w:rFonts w:eastAsiaTheme="minorEastAsia"/>
          <w:sz w:val="24"/>
          <w:szCs w:val="21"/>
        </w:rPr>
        <w:t>754,2</w:t>
      </w:r>
      <w:r w:rsidRPr="000A635E">
        <w:rPr>
          <w:rFonts w:eastAsiaTheme="minorEastAsia"/>
          <w:sz w:val="24"/>
          <w:szCs w:val="21"/>
        </w:rPr>
        <w:t xml:space="preserve"> случая на 1000 подростков); далее –  болезни </w:t>
      </w:r>
      <w:r w:rsidR="002A0CD2" w:rsidRPr="000A635E">
        <w:rPr>
          <w:rFonts w:eastAsiaTheme="minorEastAsia"/>
          <w:sz w:val="24"/>
          <w:szCs w:val="21"/>
        </w:rPr>
        <w:t xml:space="preserve">костно-мышечной системы </w:t>
      </w:r>
      <w:r w:rsidRPr="000A635E">
        <w:rPr>
          <w:rFonts w:eastAsiaTheme="minorEastAsia"/>
          <w:sz w:val="24"/>
          <w:szCs w:val="21"/>
        </w:rPr>
        <w:t>(</w:t>
      </w:r>
      <w:r w:rsidR="002A0CD2" w:rsidRPr="000A635E">
        <w:rPr>
          <w:rFonts w:eastAsiaTheme="minorEastAsia"/>
          <w:sz w:val="24"/>
          <w:szCs w:val="21"/>
        </w:rPr>
        <w:t>10,</w:t>
      </w:r>
      <w:r w:rsidR="0050282B" w:rsidRPr="000A635E">
        <w:rPr>
          <w:rFonts w:eastAsiaTheme="minorEastAsia"/>
          <w:sz w:val="24"/>
          <w:szCs w:val="21"/>
        </w:rPr>
        <w:t>99</w:t>
      </w:r>
      <w:r w:rsidRPr="000A635E">
        <w:rPr>
          <w:rFonts w:eastAsiaTheme="minorEastAsia"/>
          <w:sz w:val="24"/>
          <w:szCs w:val="21"/>
        </w:rPr>
        <w:t xml:space="preserve"> % - </w:t>
      </w:r>
      <w:r w:rsidR="0050282B" w:rsidRPr="000A635E">
        <w:rPr>
          <w:rFonts w:eastAsiaTheme="minorEastAsia"/>
          <w:sz w:val="24"/>
          <w:szCs w:val="21"/>
        </w:rPr>
        <w:t>245</w:t>
      </w:r>
      <w:r w:rsidRPr="000A635E">
        <w:rPr>
          <w:rFonts w:eastAsiaTheme="minorEastAsia"/>
          <w:sz w:val="24"/>
          <w:szCs w:val="21"/>
        </w:rPr>
        <w:t xml:space="preserve"> случа</w:t>
      </w:r>
      <w:r w:rsidR="0050282B" w:rsidRPr="000A635E">
        <w:rPr>
          <w:rFonts w:eastAsiaTheme="minorEastAsia"/>
          <w:sz w:val="24"/>
          <w:szCs w:val="21"/>
        </w:rPr>
        <w:t>ев</w:t>
      </w:r>
      <w:r w:rsidRPr="000A635E">
        <w:rPr>
          <w:rFonts w:eastAsiaTheme="minorEastAsia"/>
          <w:sz w:val="24"/>
          <w:szCs w:val="21"/>
        </w:rPr>
        <w:t xml:space="preserve"> на 1000 подростков), болезни мочеполовой системы(</w:t>
      </w:r>
      <w:r w:rsidR="0050282B" w:rsidRPr="000A635E">
        <w:rPr>
          <w:rFonts w:eastAsiaTheme="minorEastAsia"/>
          <w:sz w:val="24"/>
          <w:szCs w:val="21"/>
        </w:rPr>
        <w:t>10,15 %</w:t>
      </w:r>
      <w:r w:rsidRPr="000A635E">
        <w:rPr>
          <w:rFonts w:eastAsiaTheme="minorEastAsia"/>
          <w:sz w:val="24"/>
          <w:szCs w:val="21"/>
        </w:rPr>
        <w:t xml:space="preserve"> - </w:t>
      </w:r>
      <w:r w:rsidR="0050282B" w:rsidRPr="000A635E">
        <w:rPr>
          <w:rFonts w:eastAsiaTheme="minorEastAsia"/>
          <w:sz w:val="24"/>
          <w:szCs w:val="21"/>
        </w:rPr>
        <w:t xml:space="preserve">226,3 </w:t>
      </w:r>
      <w:r w:rsidRPr="000A635E">
        <w:rPr>
          <w:rFonts w:eastAsiaTheme="minorEastAsia"/>
          <w:sz w:val="24"/>
          <w:szCs w:val="21"/>
        </w:rPr>
        <w:t>случая на 1000 подростков).</w:t>
      </w:r>
    </w:p>
    <w:p w:rsidR="00215D5A" w:rsidRPr="000A635E" w:rsidRDefault="00215D5A">
      <w:pPr>
        <w:spacing w:after="200" w:line="276" w:lineRule="auto"/>
        <w:rPr>
          <w:rFonts w:eastAsiaTheme="minorEastAsia"/>
          <w:sz w:val="24"/>
          <w:szCs w:val="24"/>
        </w:rPr>
      </w:pPr>
    </w:p>
    <w:p w:rsidR="00215D5A" w:rsidRPr="000A635E" w:rsidRDefault="00215D5A">
      <w:pPr>
        <w:spacing w:after="200" w:line="276" w:lineRule="auto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6426679" cy="6211018"/>
            <wp:effectExtent l="0" t="0" r="0" b="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C1BF1" w:rsidRPr="000A635E" w:rsidRDefault="00BC1BF1" w:rsidP="00BC1BF1">
      <w:pPr>
        <w:ind w:firstLineChars="295" w:firstLine="619"/>
        <w:jc w:val="both"/>
        <w:rPr>
          <w:rFonts w:eastAsiaTheme="minorEastAsia"/>
        </w:rPr>
      </w:pPr>
      <w:r w:rsidRPr="000A635E">
        <w:rPr>
          <w:rFonts w:eastAsiaTheme="minorEastAsia"/>
          <w:sz w:val="21"/>
          <w:szCs w:val="21"/>
        </w:rPr>
        <w:t>Рисунок № 9   «Структура общей заболеваемости по нозологическим группам (взрослые) за 201</w:t>
      </w:r>
      <w:r w:rsidR="006E56BD" w:rsidRPr="000A635E">
        <w:rPr>
          <w:rFonts w:eastAsiaTheme="minorEastAsia"/>
          <w:sz w:val="21"/>
          <w:szCs w:val="21"/>
        </w:rPr>
        <w:t>8</w:t>
      </w:r>
      <w:r w:rsidRPr="000A635E">
        <w:rPr>
          <w:rFonts w:eastAsiaTheme="minorEastAsia"/>
          <w:sz w:val="21"/>
          <w:szCs w:val="21"/>
        </w:rPr>
        <w:t>г.</w:t>
      </w:r>
    </w:p>
    <w:p w:rsidR="00BC1BF1" w:rsidRPr="000A635E" w:rsidRDefault="00BC1BF1" w:rsidP="00BC1BF1">
      <w:pPr>
        <w:jc w:val="both"/>
        <w:rPr>
          <w:rFonts w:eastAsiaTheme="minorEastAsia"/>
          <w:sz w:val="21"/>
          <w:szCs w:val="21"/>
        </w:rPr>
      </w:pPr>
    </w:p>
    <w:p w:rsidR="00BC1BF1" w:rsidRPr="000A635E" w:rsidRDefault="00BC1BF1" w:rsidP="00BC1BF1">
      <w:pPr>
        <w:jc w:val="both"/>
        <w:rPr>
          <w:rFonts w:eastAsiaTheme="minorEastAsia"/>
          <w:sz w:val="24"/>
          <w:szCs w:val="21"/>
        </w:rPr>
      </w:pPr>
      <w:r w:rsidRPr="000A635E">
        <w:rPr>
          <w:rFonts w:eastAsiaTheme="minorEastAsia"/>
          <w:sz w:val="24"/>
          <w:szCs w:val="21"/>
        </w:rPr>
        <w:t>В структуре общей заболеваемости взрослого населения в г</w:t>
      </w:r>
      <w:proofErr w:type="gramStart"/>
      <w:r w:rsidRPr="000A635E">
        <w:rPr>
          <w:rFonts w:eastAsiaTheme="minorEastAsia"/>
          <w:sz w:val="24"/>
          <w:szCs w:val="21"/>
        </w:rPr>
        <w:t>.Н</w:t>
      </w:r>
      <w:proofErr w:type="gramEnd"/>
      <w:r w:rsidRPr="000A635E">
        <w:rPr>
          <w:rFonts w:eastAsiaTheme="minorEastAsia"/>
          <w:sz w:val="24"/>
          <w:szCs w:val="21"/>
        </w:rPr>
        <w:t xml:space="preserve">ефтеюганске первое место занимают </w:t>
      </w:r>
      <w:r w:rsidR="002A0CD2" w:rsidRPr="000A635E">
        <w:rPr>
          <w:rFonts w:eastAsiaTheme="minorEastAsia"/>
          <w:sz w:val="24"/>
          <w:szCs w:val="21"/>
        </w:rPr>
        <w:t>болезни органов кровообращения (17,</w:t>
      </w:r>
      <w:r w:rsidR="006E56BD" w:rsidRPr="000A635E">
        <w:rPr>
          <w:rFonts w:eastAsiaTheme="minorEastAsia"/>
          <w:sz w:val="24"/>
          <w:szCs w:val="21"/>
        </w:rPr>
        <w:t>36</w:t>
      </w:r>
      <w:r w:rsidR="002A0CD2" w:rsidRPr="000A635E">
        <w:rPr>
          <w:rFonts w:eastAsiaTheme="minorEastAsia"/>
          <w:sz w:val="24"/>
          <w:szCs w:val="21"/>
        </w:rPr>
        <w:t xml:space="preserve">% - </w:t>
      </w:r>
      <w:r w:rsidR="006E56BD" w:rsidRPr="000A635E">
        <w:rPr>
          <w:rFonts w:eastAsiaTheme="minorEastAsia"/>
          <w:sz w:val="24"/>
          <w:szCs w:val="21"/>
        </w:rPr>
        <w:t>211,4</w:t>
      </w:r>
      <w:r w:rsidR="002A0CD2" w:rsidRPr="000A635E">
        <w:rPr>
          <w:rFonts w:eastAsiaTheme="minorEastAsia"/>
          <w:sz w:val="24"/>
          <w:szCs w:val="21"/>
        </w:rPr>
        <w:t xml:space="preserve"> случая на 1000 населения); далее –</w:t>
      </w:r>
      <w:r w:rsidR="006E56BD" w:rsidRPr="000A635E">
        <w:rPr>
          <w:rFonts w:eastAsiaTheme="minorEastAsia"/>
          <w:sz w:val="24"/>
          <w:szCs w:val="21"/>
        </w:rPr>
        <w:t xml:space="preserve"> болезни костно-мышечной </w:t>
      </w:r>
      <w:r w:rsidRPr="000A635E">
        <w:rPr>
          <w:rFonts w:eastAsiaTheme="minorEastAsia"/>
          <w:sz w:val="24"/>
          <w:szCs w:val="21"/>
        </w:rPr>
        <w:t>(</w:t>
      </w:r>
      <w:r w:rsidR="006E56BD" w:rsidRPr="000A635E">
        <w:rPr>
          <w:rFonts w:eastAsiaTheme="minorEastAsia"/>
          <w:sz w:val="24"/>
          <w:szCs w:val="21"/>
        </w:rPr>
        <w:t>17</w:t>
      </w:r>
      <w:r w:rsidRPr="000A635E">
        <w:rPr>
          <w:rFonts w:eastAsiaTheme="minorEastAsia"/>
          <w:sz w:val="24"/>
          <w:szCs w:val="21"/>
        </w:rPr>
        <w:t xml:space="preserve"> % - </w:t>
      </w:r>
      <w:r w:rsidR="006E56BD" w:rsidRPr="000A635E">
        <w:rPr>
          <w:rFonts w:eastAsiaTheme="minorEastAsia"/>
          <w:sz w:val="24"/>
          <w:szCs w:val="21"/>
        </w:rPr>
        <w:t>207</w:t>
      </w:r>
      <w:r w:rsidRPr="000A635E">
        <w:rPr>
          <w:rFonts w:eastAsiaTheme="minorEastAsia"/>
          <w:sz w:val="24"/>
          <w:szCs w:val="21"/>
        </w:rPr>
        <w:t xml:space="preserve"> случ</w:t>
      </w:r>
      <w:r w:rsidR="001D5BDA" w:rsidRPr="000A635E">
        <w:rPr>
          <w:rFonts w:eastAsiaTheme="minorEastAsia"/>
          <w:sz w:val="24"/>
          <w:szCs w:val="21"/>
        </w:rPr>
        <w:t>а</w:t>
      </w:r>
      <w:r w:rsidR="002A0CD2" w:rsidRPr="000A635E">
        <w:rPr>
          <w:rFonts w:eastAsiaTheme="minorEastAsia"/>
          <w:sz w:val="24"/>
          <w:szCs w:val="21"/>
        </w:rPr>
        <w:t>ев</w:t>
      </w:r>
      <w:r w:rsidRPr="000A635E">
        <w:rPr>
          <w:rFonts w:eastAsiaTheme="minorEastAsia"/>
          <w:sz w:val="24"/>
          <w:szCs w:val="21"/>
        </w:rPr>
        <w:t xml:space="preserve"> на 1000 населения)</w:t>
      </w:r>
      <w:r w:rsidR="002A0CD2" w:rsidRPr="000A635E">
        <w:rPr>
          <w:rFonts w:eastAsiaTheme="minorEastAsia"/>
          <w:sz w:val="24"/>
          <w:szCs w:val="21"/>
        </w:rPr>
        <w:t>,</w:t>
      </w:r>
      <w:r w:rsidR="006E56BD" w:rsidRPr="000A635E">
        <w:rPr>
          <w:rFonts w:eastAsiaTheme="minorEastAsia"/>
          <w:sz w:val="24"/>
          <w:szCs w:val="21"/>
        </w:rPr>
        <w:t xml:space="preserve">системы болезни органов дыхания </w:t>
      </w:r>
      <w:r w:rsidRPr="000A635E">
        <w:rPr>
          <w:rFonts w:eastAsiaTheme="minorEastAsia"/>
          <w:sz w:val="24"/>
          <w:szCs w:val="21"/>
        </w:rPr>
        <w:t>(</w:t>
      </w:r>
      <w:r w:rsidR="006E56BD" w:rsidRPr="000A635E">
        <w:rPr>
          <w:rFonts w:eastAsiaTheme="minorEastAsia"/>
          <w:sz w:val="24"/>
          <w:szCs w:val="21"/>
        </w:rPr>
        <w:t>16,53</w:t>
      </w:r>
      <w:r w:rsidRPr="000A635E">
        <w:rPr>
          <w:rFonts w:eastAsiaTheme="minorEastAsia"/>
          <w:sz w:val="24"/>
          <w:szCs w:val="21"/>
        </w:rPr>
        <w:t xml:space="preserve"> % - </w:t>
      </w:r>
      <w:r w:rsidR="006E56BD" w:rsidRPr="000A635E">
        <w:rPr>
          <w:rFonts w:eastAsiaTheme="minorEastAsia"/>
          <w:sz w:val="24"/>
          <w:szCs w:val="21"/>
        </w:rPr>
        <w:t xml:space="preserve">201,2 </w:t>
      </w:r>
      <w:r w:rsidRPr="000A635E">
        <w:rPr>
          <w:rFonts w:eastAsiaTheme="minorEastAsia"/>
          <w:sz w:val="24"/>
          <w:szCs w:val="21"/>
        </w:rPr>
        <w:t>случая на 1000 населения)</w:t>
      </w:r>
      <w:r w:rsidR="002A0CD2" w:rsidRPr="000A635E">
        <w:rPr>
          <w:rFonts w:eastAsiaTheme="minorEastAsia"/>
          <w:sz w:val="24"/>
          <w:szCs w:val="21"/>
        </w:rPr>
        <w:t>.</w:t>
      </w:r>
    </w:p>
    <w:p w:rsidR="00BC1BF1" w:rsidRPr="000A635E" w:rsidRDefault="00BC1BF1" w:rsidP="00BE1110">
      <w:pPr>
        <w:ind w:left="-284" w:firstLineChars="354" w:firstLine="850"/>
        <w:jc w:val="both"/>
        <w:rPr>
          <w:rFonts w:eastAsiaTheme="minorEastAsia"/>
          <w:sz w:val="24"/>
          <w:szCs w:val="24"/>
        </w:rPr>
      </w:pPr>
    </w:p>
    <w:p w:rsidR="00BE1110" w:rsidRPr="000A635E" w:rsidRDefault="00BE1110" w:rsidP="00BE1110">
      <w:pPr>
        <w:ind w:left="-284"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Первое место в группе лидирующих заболеваний занимают болезни органов дыхания, а в их структуре в целом и по возрастным группам лидируют такие виды патологии, как: острые респираторные инфекции верхних дыхательных путей, </w:t>
      </w:r>
      <w:r w:rsidR="00D3445F" w:rsidRPr="000A635E">
        <w:rPr>
          <w:rFonts w:eastAsiaTheme="minorEastAsia"/>
          <w:sz w:val="24"/>
          <w:szCs w:val="24"/>
        </w:rPr>
        <w:t>астма и астматический статус</w:t>
      </w:r>
      <w:r w:rsidRPr="000A635E">
        <w:rPr>
          <w:rFonts w:eastAsiaTheme="minorEastAsia"/>
          <w:sz w:val="24"/>
          <w:szCs w:val="24"/>
        </w:rPr>
        <w:t xml:space="preserve">. Причиной этому, вероятно, послужило неблагоприятное воздействие таких факторов окружающей среды, </w:t>
      </w:r>
      <w:r w:rsidR="00C65197" w:rsidRPr="000A635E">
        <w:rPr>
          <w:rFonts w:eastAsiaTheme="minorEastAsia"/>
          <w:sz w:val="24"/>
          <w:szCs w:val="24"/>
        </w:rPr>
        <w:t xml:space="preserve">как </w:t>
      </w:r>
      <w:r w:rsidRPr="000A635E">
        <w:rPr>
          <w:rFonts w:eastAsiaTheme="minorEastAsia"/>
          <w:sz w:val="24"/>
          <w:szCs w:val="24"/>
        </w:rPr>
        <w:t xml:space="preserve">климатические условия,  атмосферный воздух, воздух рабочей зоны, микроклимат помещений. Первое ранговое место в структуре заболеваемости с ВУТ занимают также болезни органов дыхания. </w:t>
      </w:r>
    </w:p>
    <w:p w:rsidR="00BE1110" w:rsidRPr="000A635E" w:rsidRDefault="00BE1110" w:rsidP="00BE1110">
      <w:pPr>
        <w:autoSpaceDE w:val="0"/>
        <w:autoSpaceDN w:val="0"/>
        <w:ind w:left="-284"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Использование населением воды, не соответствующей требованиям санитарных норм и правил, для питьевых нужд и для приготовления пищи, является одним из факторов высокого уровня </w:t>
      </w:r>
      <w:r w:rsidRPr="000A635E">
        <w:rPr>
          <w:rFonts w:eastAsiaTheme="minorEastAsia"/>
          <w:sz w:val="24"/>
          <w:szCs w:val="24"/>
        </w:rPr>
        <w:lastRenderedPageBreak/>
        <w:t>заболеваемости по  классам: болезни системы пищеварения, мочеполовой системы, болезни кожи и пр.</w:t>
      </w:r>
    </w:p>
    <w:p w:rsidR="00BE1110" w:rsidRPr="000A635E" w:rsidRDefault="00BE1110" w:rsidP="00BE1110">
      <w:pPr>
        <w:autoSpaceDE w:val="0"/>
        <w:autoSpaceDN w:val="0"/>
        <w:ind w:left="-284"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Сложившаяся ситуация с состоянием и качеством питания населения города Нефтеюганска, с учетом влияния факторов внешней среды и наследственности, определяет рост алиментарно-зависимых заболеваний и болезней органов пищеварения (БОП) среди  населения города. </w:t>
      </w:r>
    </w:p>
    <w:p w:rsidR="00BE1110" w:rsidRPr="000A635E" w:rsidRDefault="00BE1110" w:rsidP="00BE1110">
      <w:pPr>
        <w:autoSpaceDE w:val="0"/>
        <w:autoSpaceDN w:val="0"/>
        <w:ind w:left="-284"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В связи со снижением потребления населением полноценных животных белков, </w:t>
      </w:r>
      <w:proofErr w:type="gramStart"/>
      <w:r w:rsidRPr="000A635E">
        <w:rPr>
          <w:rFonts w:eastAsiaTheme="minorEastAsia"/>
          <w:sz w:val="24"/>
          <w:szCs w:val="24"/>
        </w:rPr>
        <w:t>а</w:t>
      </w:r>
      <w:proofErr w:type="gramEnd"/>
      <w:r w:rsidRPr="000A635E">
        <w:rPr>
          <w:rFonts w:eastAsiaTheme="minorEastAsia"/>
          <w:sz w:val="24"/>
          <w:szCs w:val="24"/>
        </w:rPr>
        <w:t xml:space="preserve"> следовательно и незаменимых аминокислот, избыточное потребление углеводов, в том числе сахара и други</w:t>
      </w:r>
      <w:r w:rsidR="00C65197" w:rsidRPr="000A635E">
        <w:rPr>
          <w:rFonts w:eastAsiaTheme="minorEastAsia"/>
          <w:sz w:val="24"/>
          <w:szCs w:val="24"/>
        </w:rPr>
        <w:t>е</w:t>
      </w:r>
      <w:r w:rsidRPr="000A635E">
        <w:rPr>
          <w:rFonts w:eastAsiaTheme="minorEastAsia"/>
          <w:sz w:val="24"/>
          <w:szCs w:val="24"/>
        </w:rPr>
        <w:t xml:space="preserve"> погрешности питания, отмечается неуклонный рост числа алиментарно-зависимых заболеваний и болезней органов пищеварения среди населения города. В 201</w:t>
      </w:r>
      <w:r w:rsidR="00F720BA" w:rsidRPr="000A635E">
        <w:rPr>
          <w:rFonts w:eastAsiaTheme="minorEastAsia"/>
          <w:sz w:val="24"/>
          <w:szCs w:val="24"/>
        </w:rPr>
        <w:t>8</w:t>
      </w:r>
      <w:r w:rsidRPr="000A635E">
        <w:rPr>
          <w:rFonts w:eastAsiaTheme="minorEastAsia"/>
          <w:sz w:val="24"/>
          <w:szCs w:val="24"/>
        </w:rPr>
        <w:t>году,как и в 201</w:t>
      </w:r>
      <w:r w:rsidR="00F720BA" w:rsidRPr="000A635E">
        <w:rPr>
          <w:rFonts w:eastAsiaTheme="minorEastAsia"/>
          <w:sz w:val="24"/>
          <w:szCs w:val="24"/>
        </w:rPr>
        <w:t>7</w:t>
      </w:r>
      <w:r w:rsidRPr="000A635E">
        <w:rPr>
          <w:rFonts w:eastAsiaTheme="minorEastAsia"/>
          <w:sz w:val="24"/>
          <w:szCs w:val="24"/>
        </w:rPr>
        <w:t>, показатель заболеваемости по классу болезни эндокринной системы, нарушения питания и нарушения обмена веществ остается высоким</w:t>
      </w:r>
      <w:r w:rsidR="00C65197" w:rsidRPr="000A635E">
        <w:rPr>
          <w:rFonts w:eastAsiaTheme="minorEastAsia"/>
          <w:sz w:val="24"/>
          <w:szCs w:val="24"/>
        </w:rPr>
        <w:t>.</w:t>
      </w:r>
    </w:p>
    <w:p w:rsidR="00BE1110" w:rsidRPr="00097BEB" w:rsidRDefault="00BE1110" w:rsidP="00BE1110">
      <w:pPr>
        <w:tabs>
          <w:tab w:val="left" w:pos="8364"/>
        </w:tabs>
        <w:autoSpaceDE w:val="0"/>
        <w:autoSpaceDN w:val="0"/>
        <w:ind w:left="-284" w:firstLine="851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>На протяжении всего наблюдаемого периода ведущее место у взрослых принадлежит сахарному диабету, показатель заболеваемости которым  имеет тенденцию к прогрессированию.</w:t>
      </w:r>
    </w:p>
    <w:p w:rsidR="00BE1110" w:rsidRPr="00097BEB" w:rsidRDefault="00BE1110" w:rsidP="00BE1110">
      <w:pPr>
        <w:ind w:left="-284" w:firstLineChars="709" w:firstLine="156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sectPr w:rsidR="00BE1110" w:rsidRPr="00097BEB" w:rsidSect="007F5CD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567" w:right="567" w:bottom="567" w:left="1134" w:header="964" w:footer="964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582" w:rsidRDefault="00F65582" w:rsidP="00AE43F0">
      <w:r>
        <w:separator/>
      </w:r>
    </w:p>
  </w:endnote>
  <w:endnote w:type="continuationSeparator" w:id="0">
    <w:p w:rsidR="00F65582" w:rsidRDefault="00F65582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92279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7F5CD0" w:rsidRDefault="007F5C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</w:t>
        </w:r>
        <w:r>
          <w:fldChar w:fldCharType="end"/>
        </w:r>
      </w:p>
    </w:sdtContent>
  </w:sdt>
  <w:p w:rsidR="00BF4558" w:rsidRDefault="00BF455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582" w:rsidRDefault="00F65582" w:rsidP="00AE43F0">
      <w:r>
        <w:separator/>
      </w:r>
    </w:p>
  </w:footnote>
  <w:footnote w:type="continuationSeparator" w:id="0">
    <w:p w:rsidR="00F65582" w:rsidRDefault="00F65582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1B3"/>
    <w:multiLevelType w:val="multilevel"/>
    <w:tmpl w:val="D618D0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FE5EA8"/>
    <w:multiLevelType w:val="multilevel"/>
    <w:tmpl w:val="1A8E07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743F16"/>
    <w:multiLevelType w:val="hybridMultilevel"/>
    <w:tmpl w:val="64D0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061FC6"/>
    <w:multiLevelType w:val="hybridMultilevel"/>
    <w:tmpl w:val="B33C7A2A"/>
    <w:lvl w:ilvl="0" w:tplc="EFC053C8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E77BC9"/>
    <w:multiLevelType w:val="hybridMultilevel"/>
    <w:tmpl w:val="46127C1A"/>
    <w:lvl w:ilvl="0" w:tplc="CC045E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2975027"/>
    <w:multiLevelType w:val="hybridMultilevel"/>
    <w:tmpl w:val="B026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9F3108"/>
    <w:multiLevelType w:val="hybridMultilevel"/>
    <w:tmpl w:val="7B725D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67AF7129"/>
    <w:multiLevelType w:val="hybridMultilevel"/>
    <w:tmpl w:val="1ACEAC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C147B28"/>
    <w:multiLevelType w:val="hybridMultilevel"/>
    <w:tmpl w:val="111E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FE0901"/>
    <w:multiLevelType w:val="hybridMultilevel"/>
    <w:tmpl w:val="08AC2830"/>
    <w:lvl w:ilvl="0" w:tplc="2CA2CB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A62C8D"/>
    <w:multiLevelType w:val="hybridMultilevel"/>
    <w:tmpl w:val="BC86D364"/>
    <w:lvl w:ilvl="0" w:tplc="86E0C22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2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C750EA"/>
    <w:multiLevelType w:val="hybridMultilevel"/>
    <w:tmpl w:val="C63EE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4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7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6"/>
  </w:num>
  <w:num w:numId="13">
    <w:abstractNumId w:val="0"/>
  </w:num>
  <w:num w:numId="14">
    <w:abstractNumId w:val="1"/>
  </w:num>
  <w:num w:numId="15">
    <w:abstractNumId w:val="23"/>
  </w:num>
  <w:num w:numId="16">
    <w:abstractNumId w:val="8"/>
  </w:num>
  <w:num w:numId="17">
    <w:abstractNumId w:val="28"/>
  </w:num>
  <w:num w:numId="18">
    <w:abstractNumId w:val="10"/>
  </w:num>
  <w:num w:numId="19">
    <w:abstractNumId w:val="13"/>
  </w:num>
  <w:num w:numId="20">
    <w:abstractNumId w:val="34"/>
  </w:num>
  <w:num w:numId="21">
    <w:abstractNumId w:val="25"/>
  </w:num>
  <w:num w:numId="22">
    <w:abstractNumId w:val="21"/>
  </w:num>
  <w:num w:numId="23">
    <w:abstractNumId w:val="1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6"/>
  </w:num>
  <w:num w:numId="27">
    <w:abstractNumId w:val="18"/>
  </w:num>
  <w:num w:numId="28">
    <w:abstractNumId w:val="32"/>
  </w:num>
  <w:num w:numId="29">
    <w:abstractNumId w:val="16"/>
  </w:num>
  <w:num w:numId="30">
    <w:abstractNumId w:val="5"/>
  </w:num>
  <w:num w:numId="31">
    <w:abstractNumId w:val="19"/>
  </w:num>
  <w:num w:numId="32">
    <w:abstractNumId w:val="35"/>
  </w:num>
  <w:num w:numId="33">
    <w:abstractNumId w:val="12"/>
  </w:num>
  <w:num w:numId="34">
    <w:abstractNumId w:val="17"/>
  </w:num>
  <w:num w:numId="35">
    <w:abstractNumId w:val="9"/>
  </w:num>
  <w:num w:numId="36">
    <w:abstractNumId w:val="3"/>
  </w:num>
  <w:num w:numId="37">
    <w:abstractNumId w:val="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FAE"/>
    <w:rsid w:val="00001027"/>
    <w:rsid w:val="00013BEB"/>
    <w:rsid w:val="0001682D"/>
    <w:rsid w:val="00020196"/>
    <w:rsid w:val="00050967"/>
    <w:rsid w:val="00051642"/>
    <w:rsid w:val="000543A1"/>
    <w:rsid w:val="0006002F"/>
    <w:rsid w:val="000622D0"/>
    <w:rsid w:val="00065C6D"/>
    <w:rsid w:val="00070437"/>
    <w:rsid w:val="000722C5"/>
    <w:rsid w:val="000817FE"/>
    <w:rsid w:val="00083132"/>
    <w:rsid w:val="00094B77"/>
    <w:rsid w:val="00097BEB"/>
    <w:rsid w:val="000A635E"/>
    <w:rsid w:val="000B51B0"/>
    <w:rsid w:val="000B5FBC"/>
    <w:rsid w:val="000B6099"/>
    <w:rsid w:val="000C5F56"/>
    <w:rsid w:val="000D298D"/>
    <w:rsid w:val="000D5A5D"/>
    <w:rsid w:val="000E45F0"/>
    <w:rsid w:val="000E5849"/>
    <w:rsid w:val="000F12AF"/>
    <w:rsid w:val="000F5878"/>
    <w:rsid w:val="00100991"/>
    <w:rsid w:val="00106301"/>
    <w:rsid w:val="00111386"/>
    <w:rsid w:val="00115082"/>
    <w:rsid w:val="0012285B"/>
    <w:rsid w:val="00133983"/>
    <w:rsid w:val="0013418A"/>
    <w:rsid w:val="00137EC1"/>
    <w:rsid w:val="00142AAE"/>
    <w:rsid w:val="001600D6"/>
    <w:rsid w:val="00161067"/>
    <w:rsid w:val="00165166"/>
    <w:rsid w:val="0016636D"/>
    <w:rsid w:val="00166E4A"/>
    <w:rsid w:val="00172D68"/>
    <w:rsid w:val="001732F6"/>
    <w:rsid w:val="0017704C"/>
    <w:rsid w:val="00183C3B"/>
    <w:rsid w:val="001A56EF"/>
    <w:rsid w:val="001C036D"/>
    <w:rsid w:val="001D2069"/>
    <w:rsid w:val="001D5BDA"/>
    <w:rsid w:val="001E292D"/>
    <w:rsid w:val="001E4562"/>
    <w:rsid w:val="001E5DD0"/>
    <w:rsid w:val="001F52B9"/>
    <w:rsid w:val="0020586B"/>
    <w:rsid w:val="0020755A"/>
    <w:rsid w:val="00215D5A"/>
    <w:rsid w:val="0022157B"/>
    <w:rsid w:val="00223BEF"/>
    <w:rsid w:val="0022753D"/>
    <w:rsid w:val="00230739"/>
    <w:rsid w:val="002338DF"/>
    <w:rsid w:val="00250FA7"/>
    <w:rsid w:val="00252534"/>
    <w:rsid w:val="0026723C"/>
    <w:rsid w:val="00281B2A"/>
    <w:rsid w:val="002823CE"/>
    <w:rsid w:val="00283DF1"/>
    <w:rsid w:val="00284119"/>
    <w:rsid w:val="002A0CD2"/>
    <w:rsid w:val="002A44E7"/>
    <w:rsid w:val="002C2F22"/>
    <w:rsid w:val="002C4993"/>
    <w:rsid w:val="002C49C9"/>
    <w:rsid w:val="002C5078"/>
    <w:rsid w:val="002D624D"/>
    <w:rsid w:val="002F20DE"/>
    <w:rsid w:val="00302B9F"/>
    <w:rsid w:val="003130BB"/>
    <w:rsid w:val="00323494"/>
    <w:rsid w:val="003244E5"/>
    <w:rsid w:val="00330E8E"/>
    <w:rsid w:val="00340986"/>
    <w:rsid w:val="0036576E"/>
    <w:rsid w:val="00365990"/>
    <w:rsid w:val="0038615F"/>
    <w:rsid w:val="00393083"/>
    <w:rsid w:val="00395BD9"/>
    <w:rsid w:val="00397F7B"/>
    <w:rsid w:val="003B6C5A"/>
    <w:rsid w:val="003C07AF"/>
    <w:rsid w:val="003C35DD"/>
    <w:rsid w:val="003D11D6"/>
    <w:rsid w:val="003D6C5A"/>
    <w:rsid w:val="003F43D7"/>
    <w:rsid w:val="004025EF"/>
    <w:rsid w:val="0040360C"/>
    <w:rsid w:val="00404BE9"/>
    <w:rsid w:val="0041171A"/>
    <w:rsid w:val="00425E72"/>
    <w:rsid w:val="004432A9"/>
    <w:rsid w:val="00447E0A"/>
    <w:rsid w:val="00447F3F"/>
    <w:rsid w:val="004570EE"/>
    <w:rsid w:val="00461EC4"/>
    <w:rsid w:val="00465E54"/>
    <w:rsid w:val="004732CF"/>
    <w:rsid w:val="0048301D"/>
    <w:rsid w:val="004836C0"/>
    <w:rsid w:val="00487C61"/>
    <w:rsid w:val="00492707"/>
    <w:rsid w:val="004E31C7"/>
    <w:rsid w:val="004E6C6D"/>
    <w:rsid w:val="004F3655"/>
    <w:rsid w:val="0050282B"/>
    <w:rsid w:val="0050786E"/>
    <w:rsid w:val="00507F79"/>
    <w:rsid w:val="005127E9"/>
    <w:rsid w:val="00515D83"/>
    <w:rsid w:val="00533FEC"/>
    <w:rsid w:val="0053540F"/>
    <w:rsid w:val="00550729"/>
    <w:rsid w:val="00570C00"/>
    <w:rsid w:val="00571833"/>
    <w:rsid w:val="005729C2"/>
    <w:rsid w:val="0058028A"/>
    <w:rsid w:val="005B27CD"/>
    <w:rsid w:val="005B3D48"/>
    <w:rsid w:val="005B5479"/>
    <w:rsid w:val="005B719C"/>
    <w:rsid w:val="005B7616"/>
    <w:rsid w:val="005C0A8D"/>
    <w:rsid w:val="005C3518"/>
    <w:rsid w:val="005C3CB4"/>
    <w:rsid w:val="005C42A9"/>
    <w:rsid w:val="005D560E"/>
    <w:rsid w:val="005D611A"/>
    <w:rsid w:val="005F1307"/>
    <w:rsid w:val="005F5E15"/>
    <w:rsid w:val="006006FC"/>
    <w:rsid w:val="00606183"/>
    <w:rsid w:val="00606FB1"/>
    <w:rsid w:val="00613FEC"/>
    <w:rsid w:val="00625E13"/>
    <w:rsid w:val="006422CE"/>
    <w:rsid w:val="00645015"/>
    <w:rsid w:val="006517A9"/>
    <w:rsid w:val="00657FA8"/>
    <w:rsid w:val="00660724"/>
    <w:rsid w:val="006623F6"/>
    <w:rsid w:val="00663F99"/>
    <w:rsid w:val="0067346C"/>
    <w:rsid w:val="00676EAA"/>
    <w:rsid w:val="00681502"/>
    <w:rsid w:val="006902B9"/>
    <w:rsid w:val="006A4C69"/>
    <w:rsid w:val="006A5464"/>
    <w:rsid w:val="006A6D6F"/>
    <w:rsid w:val="006A73D9"/>
    <w:rsid w:val="006A7FCD"/>
    <w:rsid w:val="006B5ED2"/>
    <w:rsid w:val="006B6948"/>
    <w:rsid w:val="006C19F5"/>
    <w:rsid w:val="006C31F5"/>
    <w:rsid w:val="006D387F"/>
    <w:rsid w:val="006D5034"/>
    <w:rsid w:val="006E4561"/>
    <w:rsid w:val="006E56BD"/>
    <w:rsid w:val="00720B52"/>
    <w:rsid w:val="0072133E"/>
    <w:rsid w:val="00726311"/>
    <w:rsid w:val="007324A8"/>
    <w:rsid w:val="00763FCE"/>
    <w:rsid w:val="0077596B"/>
    <w:rsid w:val="00781CBB"/>
    <w:rsid w:val="00791047"/>
    <w:rsid w:val="00791913"/>
    <w:rsid w:val="00791B0D"/>
    <w:rsid w:val="007960A9"/>
    <w:rsid w:val="007A18EE"/>
    <w:rsid w:val="007A304E"/>
    <w:rsid w:val="007A33B9"/>
    <w:rsid w:val="007A4279"/>
    <w:rsid w:val="007A4EE1"/>
    <w:rsid w:val="007B31DC"/>
    <w:rsid w:val="007B7FAE"/>
    <w:rsid w:val="007D32A3"/>
    <w:rsid w:val="007D66BB"/>
    <w:rsid w:val="007E1073"/>
    <w:rsid w:val="007E39B6"/>
    <w:rsid w:val="007E6E29"/>
    <w:rsid w:val="007F5CD0"/>
    <w:rsid w:val="007F6AE0"/>
    <w:rsid w:val="008037CE"/>
    <w:rsid w:val="00803F18"/>
    <w:rsid w:val="00807300"/>
    <w:rsid w:val="00815BAF"/>
    <w:rsid w:val="00826F90"/>
    <w:rsid w:val="00831465"/>
    <w:rsid w:val="00837461"/>
    <w:rsid w:val="008430D6"/>
    <w:rsid w:val="008610B9"/>
    <w:rsid w:val="00870385"/>
    <w:rsid w:val="00871089"/>
    <w:rsid w:val="00872C7E"/>
    <w:rsid w:val="008778A0"/>
    <w:rsid w:val="0088392F"/>
    <w:rsid w:val="00885ACD"/>
    <w:rsid w:val="00886F0B"/>
    <w:rsid w:val="00895B0B"/>
    <w:rsid w:val="008C3D77"/>
    <w:rsid w:val="008C4976"/>
    <w:rsid w:val="008C7314"/>
    <w:rsid w:val="008D4D7F"/>
    <w:rsid w:val="008D78DB"/>
    <w:rsid w:val="008E3723"/>
    <w:rsid w:val="00900CE2"/>
    <w:rsid w:val="00904FB8"/>
    <w:rsid w:val="009124E0"/>
    <w:rsid w:val="0091546A"/>
    <w:rsid w:val="0092037E"/>
    <w:rsid w:val="009230EC"/>
    <w:rsid w:val="009242EA"/>
    <w:rsid w:val="00927130"/>
    <w:rsid w:val="00927E91"/>
    <w:rsid w:val="00930AE0"/>
    <w:rsid w:val="00931A22"/>
    <w:rsid w:val="00944D91"/>
    <w:rsid w:val="0094726B"/>
    <w:rsid w:val="0095226E"/>
    <w:rsid w:val="00960361"/>
    <w:rsid w:val="00972A8E"/>
    <w:rsid w:val="00976FC0"/>
    <w:rsid w:val="00981941"/>
    <w:rsid w:val="009A4608"/>
    <w:rsid w:val="009B403E"/>
    <w:rsid w:val="009B5E01"/>
    <w:rsid w:val="009B612B"/>
    <w:rsid w:val="009B673A"/>
    <w:rsid w:val="009B79E4"/>
    <w:rsid w:val="009B7BFC"/>
    <w:rsid w:val="009C591C"/>
    <w:rsid w:val="009D1536"/>
    <w:rsid w:val="009D27C1"/>
    <w:rsid w:val="009E5652"/>
    <w:rsid w:val="009F0277"/>
    <w:rsid w:val="009F363E"/>
    <w:rsid w:val="00A013D3"/>
    <w:rsid w:val="00A069AB"/>
    <w:rsid w:val="00A07CFB"/>
    <w:rsid w:val="00A10BDB"/>
    <w:rsid w:val="00A140EC"/>
    <w:rsid w:val="00A21791"/>
    <w:rsid w:val="00A22A96"/>
    <w:rsid w:val="00A2760D"/>
    <w:rsid w:val="00A4200E"/>
    <w:rsid w:val="00A43E3C"/>
    <w:rsid w:val="00A517BE"/>
    <w:rsid w:val="00A56929"/>
    <w:rsid w:val="00A60F8D"/>
    <w:rsid w:val="00A725C1"/>
    <w:rsid w:val="00A770AC"/>
    <w:rsid w:val="00A84094"/>
    <w:rsid w:val="00A85034"/>
    <w:rsid w:val="00A92889"/>
    <w:rsid w:val="00A93648"/>
    <w:rsid w:val="00AA63A3"/>
    <w:rsid w:val="00AB2626"/>
    <w:rsid w:val="00AB28CF"/>
    <w:rsid w:val="00AB7212"/>
    <w:rsid w:val="00AC52B6"/>
    <w:rsid w:val="00AC583D"/>
    <w:rsid w:val="00AC7DEB"/>
    <w:rsid w:val="00AD03DC"/>
    <w:rsid w:val="00AE0DBA"/>
    <w:rsid w:val="00AE32F4"/>
    <w:rsid w:val="00AE36CD"/>
    <w:rsid w:val="00AE43F0"/>
    <w:rsid w:val="00AE4932"/>
    <w:rsid w:val="00B00A82"/>
    <w:rsid w:val="00B05D84"/>
    <w:rsid w:val="00B062F7"/>
    <w:rsid w:val="00B07FBA"/>
    <w:rsid w:val="00B249CB"/>
    <w:rsid w:val="00B3075D"/>
    <w:rsid w:val="00B43F48"/>
    <w:rsid w:val="00B4598D"/>
    <w:rsid w:val="00B476CE"/>
    <w:rsid w:val="00B52BBA"/>
    <w:rsid w:val="00B56962"/>
    <w:rsid w:val="00B60BA6"/>
    <w:rsid w:val="00B675C7"/>
    <w:rsid w:val="00B67661"/>
    <w:rsid w:val="00B77550"/>
    <w:rsid w:val="00B823BC"/>
    <w:rsid w:val="00BC1BF1"/>
    <w:rsid w:val="00BC4F0C"/>
    <w:rsid w:val="00BC53D3"/>
    <w:rsid w:val="00BD635D"/>
    <w:rsid w:val="00BE1110"/>
    <w:rsid w:val="00BE7B19"/>
    <w:rsid w:val="00BF374B"/>
    <w:rsid w:val="00BF4558"/>
    <w:rsid w:val="00C00CED"/>
    <w:rsid w:val="00C166BE"/>
    <w:rsid w:val="00C21DC4"/>
    <w:rsid w:val="00C44409"/>
    <w:rsid w:val="00C4578B"/>
    <w:rsid w:val="00C46182"/>
    <w:rsid w:val="00C54C32"/>
    <w:rsid w:val="00C564CB"/>
    <w:rsid w:val="00C65197"/>
    <w:rsid w:val="00C67362"/>
    <w:rsid w:val="00C75BFB"/>
    <w:rsid w:val="00C84953"/>
    <w:rsid w:val="00C87E8C"/>
    <w:rsid w:val="00C90965"/>
    <w:rsid w:val="00CA4B9D"/>
    <w:rsid w:val="00CA6C48"/>
    <w:rsid w:val="00CB2491"/>
    <w:rsid w:val="00CC5491"/>
    <w:rsid w:val="00CC773F"/>
    <w:rsid w:val="00CE181D"/>
    <w:rsid w:val="00CE5F69"/>
    <w:rsid w:val="00CE670F"/>
    <w:rsid w:val="00CE7792"/>
    <w:rsid w:val="00CF1045"/>
    <w:rsid w:val="00CF2067"/>
    <w:rsid w:val="00CF5F77"/>
    <w:rsid w:val="00D046ED"/>
    <w:rsid w:val="00D13139"/>
    <w:rsid w:val="00D273E2"/>
    <w:rsid w:val="00D320B5"/>
    <w:rsid w:val="00D33FCC"/>
    <w:rsid w:val="00D3445F"/>
    <w:rsid w:val="00D47B7E"/>
    <w:rsid w:val="00D60BF2"/>
    <w:rsid w:val="00D61E70"/>
    <w:rsid w:val="00D62A3B"/>
    <w:rsid w:val="00D72255"/>
    <w:rsid w:val="00D762A6"/>
    <w:rsid w:val="00D8208B"/>
    <w:rsid w:val="00D93F36"/>
    <w:rsid w:val="00DA2C64"/>
    <w:rsid w:val="00DB6B93"/>
    <w:rsid w:val="00DB7467"/>
    <w:rsid w:val="00DC1988"/>
    <w:rsid w:val="00DD3D4A"/>
    <w:rsid w:val="00DE033F"/>
    <w:rsid w:val="00DF2FA7"/>
    <w:rsid w:val="00DF7E59"/>
    <w:rsid w:val="00E02D59"/>
    <w:rsid w:val="00E15C7C"/>
    <w:rsid w:val="00E24490"/>
    <w:rsid w:val="00E42A1D"/>
    <w:rsid w:val="00E51494"/>
    <w:rsid w:val="00E5771B"/>
    <w:rsid w:val="00E63CB2"/>
    <w:rsid w:val="00E705BC"/>
    <w:rsid w:val="00E73B33"/>
    <w:rsid w:val="00E742A8"/>
    <w:rsid w:val="00E805CC"/>
    <w:rsid w:val="00E810E7"/>
    <w:rsid w:val="00E91796"/>
    <w:rsid w:val="00E93EFF"/>
    <w:rsid w:val="00E9628E"/>
    <w:rsid w:val="00EB0255"/>
    <w:rsid w:val="00EB6A49"/>
    <w:rsid w:val="00EC6AAC"/>
    <w:rsid w:val="00ED0ECB"/>
    <w:rsid w:val="00EF3BA7"/>
    <w:rsid w:val="00EF59FF"/>
    <w:rsid w:val="00F04AFD"/>
    <w:rsid w:val="00F14F35"/>
    <w:rsid w:val="00F40709"/>
    <w:rsid w:val="00F60251"/>
    <w:rsid w:val="00F634FF"/>
    <w:rsid w:val="00F639B8"/>
    <w:rsid w:val="00F65582"/>
    <w:rsid w:val="00F667C0"/>
    <w:rsid w:val="00F720BA"/>
    <w:rsid w:val="00F74361"/>
    <w:rsid w:val="00F8205F"/>
    <w:rsid w:val="00F92FEB"/>
    <w:rsid w:val="00F94089"/>
    <w:rsid w:val="00FA1E0E"/>
    <w:rsid w:val="00FA3712"/>
    <w:rsid w:val="00FB05BD"/>
    <w:rsid w:val="00FB1F3B"/>
    <w:rsid w:val="00FB3520"/>
    <w:rsid w:val="00FC5ECB"/>
    <w:rsid w:val="00FD45A0"/>
    <w:rsid w:val="00FD5D92"/>
    <w:rsid w:val="00FE2DBB"/>
    <w:rsid w:val="00FE32FA"/>
    <w:rsid w:val="00FE6D3F"/>
    <w:rsid w:val="00FF0645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7">
    <w:name w:val="page number"/>
    <w:basedOn w:val="a0"/>
    <w:rsid w:val="0053540F"/>
  </w:style>
  <w:style w:type="paragraph" w:customStyle="1" w:styleId="af8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a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sid w:val="0053540F"/>
    <w:rPr>
      <w:i/>
      <w:iCs/>
    </w:rPr>
  </w:style>
  <w:style w:type="paragraph" w:styleId="afc">
    <w:name w:val="Normal (Web)"/>
    <w:basedOn w:val="a"/>
    <w:semiHidden/>
    <w:unhideWhenUsed/>
    <w:rsid w:val="00DB6B9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50" b="1" i="1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 sz="1050" i="0">
                <a:latin typeface="Times New Roman" pitchFamily="18" charset="0"/>
                <a:cs typeface="Times New Roman" pitchFamily="18" charset="0"/>
              </a:rPr>
              <a:t>Уровень общей заболеваемости по приоритетным направлениям в сравнении по годам (2016-2018) в г. Нефтеюганске</a:t>
            </a:r>
          </a:p>
        </c:rich>
      </c:tx>
      <c:layout>
        <c:manualLayout>
          <c:xMode val="edge"/>
          <c:yMode val="edge"/>
          <c:x val="0.10623946037099496"/>
          <c:y val="2.0477815699659306E-2"/>
        </c:manualLayout>
      </c:layout>
      <c:overlay val="0"/>
      <c:spPr>
        <a:noFill/>
        <a:ln w="2535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7571669477234401E-2"/>
          <c:y val="0.14334470989761094"/>
          <c:w val="0.63743676222596957"/>
          <c:h val="0.7849829351535836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Болезни органов дыхания</c:v>
                </c:pt>
              </c:strCache>
            </c:strRef>
          </c:tx>
          <c:spPr>
            <a:ln w="12679">
              <a:solidFill>
                <a:schemeClr val="tx1"/>
              </a:solidFill>
              <a:prstDash val="solid"/>
            </a:ln>
          </c:spPr>
          <c:marker>
            <c:symbol val="diamond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377.8</c:v>
                </c:pt>
                <c:pt idx="1">
                  <c:v>655.52</c:v>
                </c:pt>
                <c:pt idx="2">
                  <c:v>671.4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Болезни костно-мышечной системы</c:v>
                </c:pt>
              </c:strCache>
            </c:strRef>
          </c:tx>
          <c:spPr>
            <a:ln w="12679">
              <a:solidFill>
                <a:schemeClr val="tx1"/>
              </a:solidFill>
              <a:prstDash val="solid"/>
            </a:ln>
          </c:spPr>
          <c:marker>
            <c:symbol val="square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169.2</c:v>
                </c:pt>
                <c:pt idx="1">
                  <c:v>158.57</c:v>
                </c:pt>
                <c:pt idx="2">
                  <c:v>158.57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Болезни системы кровообращения</c:v>
                </c:pt>
              </c:strCache>
            </c:strRef>
          </c:tx>
          <c:spPr>
            <a:ln w="12679">
              <a:solidFill>
                <a:schemeClr val="tx1"/>
              </a:solidFill>
              <a:prstDash val="sysDot"/>
            </a:ln>
          </c:spPr>
          <c:marker>
            <c:symbol val="triangle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Pt>
            <c:idx val="1"/>
            <c:bubble3D val="0"/>
            <c:spPr>
              <a:ln w="12679">
                <a:solidFill>
                  <a:schemeClr val="tx1"/>
                </a:solidFill>
                <a:prstDash val="sysDash"/>
              </a:ln>
            </c:spPr>
          </c:dPt>
          <c:dPt>
            <c:idx val="2"/>
            <c:bubble3D val="0"/>
            <c:spPr>
              <a:ln w="12679">
                <a:solidFill>
                  <a:schemeClr val="tx1"/>
                </a:solidFill>
                <a:prstDash val="sysDash"/>
              </a:ln>
            </c:spPr>
          </c:dPt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>
                  <c:v>138.1</c:v>
                </c:pt>
                <c:pt idx="1">
                  <c:v>169.2</c:v>
                </c:pt>
                <c:pt idx="2">
                  <c:v>187.6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Травмы и отравления</c:v>
                </c:pt>
              </c:strCache>
            </c:strRef>
          </c:tx>
          <c:spPr>
            <a:ln w="12679">
              <a:solidFill>
                <a:schemeClr val="tx1"/>
              </a:solidFill>
              <a:prstDash val="solid"/>
            </a:ln>
          </c:spPr>
          <c:marker>
            <c:symbol val="x"/>
            <c:size val="7"/>
            <c:spPr>
              <a:noFill/>
              <a:ln>
                <a:solidFill>
                  <a:schemeClr val="tx1"/>
                </a:solidFill>
                <a:prstDash val="solid"/>
              </a:ln>
            </c:spPr>
          </c:marker>
          <c:dPt>
            <c:idx val="1"/>
            <c:bubble3D val="0"/>
            <c:spPr>
              <a:ln w="12679">
                <a:solidFill>
                  <a:schemeClr val="tx1"/>
                </a:solidFill>
                <a:prstDash val="lgDash"/>
              </a:ln>
            </c:spPr>
          </c:dPt>
          <c:dPt>
            <c:idx val="2"/>
            <c:bubble3D val="0"/>
            <c:spPr>
              <a:ln w="12679">
                <a:solidFill>
                  <a:schemeClr val="tx1"/>
                </a:solidFill>
                <a:prstDash val="lgDash"/>
              </a:ln>
            </c:spPr>
          </c:dPt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Лист1!$B$5:$D$5</c:f>
              <c:numCache>
                <c:formatCode>General</c:formatCode>
                <c:ptCount val="3"/>
                <c:pt idx="0">
                  <c:v>68.8</c:v>
                </c:pt>
                <c:pt idx="1">
                  <c:v>83.9</c:v>
                </c:pt>
                <c:pt idx="2">
                  <c:v>52.7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Лист1!$A$6</c:f>
              <c:strCache>
                <c:ptCount val="1"/>
              </c:strCache>
            </c:strRef>
          </c:tx>
          <c:spPr>
            <a:ln w="12679">
              <a:solidFill>
                <a:srgbClr val="800080"/>
              </a:solidFill>
              <a:prstDash val="solid"/>
            </a:ln>
          </c:spPr>
          <c:marker>
            <c:symbol val="star"/>
            <c:size val="7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dLbls>
            <c:spPr>
              <a:noFill/>
              <a:ln w="25358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Лист1!$B$6:$D$6</c:f>
              <c:numCache>
                <c:formatCode>General</c:formatCode>
                <c:ptCount val="3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9439232"/>
        <c:axId val="169440768"/>
      </c:lineChart>
      <c:catAx>
        <c:axId val="169439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3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69440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9440768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3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169439232"/>
        <c:crosses val="autoZero"/>
        <c:crossBetween val="between"/>
      </c:valAx>
      <c:spPr>
        <a:solidFill>
          <a:srgbClr val="FFFFFF"/>
        </a:solidFill>
        <a:ln w="12679">
          <a:solidFill>
            <a:srgbClr val="808080"/>
          </a:solidFill>
          <a:prstDash val="solid"/>
        </a:ln>
      </c:spPr>
    </c:plotArea>
    <c:legend>
      <c:legendPos val="r"/>
      <c:legendEntry>
        <c:idx val="0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734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76391231028667794"/>
          <c:y val="0.35665529010238906"/>
          <c:w val="0.23102866779089393"/>
          <c:h val="0.42320819112628238"/>
        </c:manualLayout>
      </c:layout>
      <c:overlay val="0"/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918" b="0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73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1699346405228773E-2"/>
          <c:y val="4.9763033175355534E-2"/>
          <c:w val="0.65032679738562094"/>
          <c:h val="0.8530805687203791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Дети 0-14 лет</c:v>
                </c:pt>
              </c:strCache>
            </c:strRef>
          </c:tx>
          <c:spPr>
            <a:ln w="11845">
              <a:solidFill>
                <a:schemeClr val="tx1"/>
              </a:solidFill>
              <a:prstDash val="solid"/>
            </a:ln>
          </c:spPr>
          <c:marker>
            <c:symbol val="diamond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3691">
                <a:noFill/>
              </a:ln>
            </c:spPr>
            <c:txPr>
              <a:bodyPr/>
              <a:lstStyle/>
              <a:p>
                <a:pPr>
                  <a:defRPr sz="933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2409.1999999999998</c:v>
                </c:pt>
                <c:pt idx="1">
                  <c:v>4067.1</c:v>
                </c:pt>
                <c:pt idx="2">
                  <c:v>3850.2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Подростки 15-17 лет</c:v>
                </c:pt>
              </c:strCache>
            </c:strRef>
          </c:tx>
          <c:spPr>
            <a:ln w="11845">
              <a:solidFill>
                <a:schemeClr val="tx1"/>
              </a:solidFill>
              <a:prstDash val="solid"/>
            </a:ln>
          </c:spPr>
          <c:marker>
            <c:symbol val="square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3691">
                <a:noFill/>
              </a:ln>
            </c:spPr>
            <c:txPr>
              <a:bodyPr/>
              <a:lstStyle/>
              <a:p>
                <a:pPr>
                  <a:defRPr sz="933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1972.2</c:v>
                </c:pt>
                <c:pt idx="1">
                  <c:v>2322.8000000000002</c:v>
                </c:pt>
                <c:pt idx="2">
                  <c:v>2229.5</c:v>
                </c:pt>
              </c:numCache>
            </c:numRef>
          </c:val>
          <c:smooth val="0"/>
        </c:ser>
        <c:ser>
          <c:idx val="3"/>
          <c:order val="2"/>
          <c:tx>
            <c:strRef>
              <c:f>Лист1!$A$4</c:f>
              <c:strCache>
                <c:ptCount val="1"/>
                <c:pt idx="0">
                  <c:v>Взрослые 18 лет и старше</c:v>
                </c:pt>
              </c:strCache>
            </c:strRef>
          </c:tx>
          <c:spPr>
            <a:ln w="11845">
              <a:solidFill>
                <a:schemeClr val="tx1"/>
              </a:solidFill>
              <a:prstDash val="solid"/>
            </a:ln>
          </c:spPr>
          <c:marker>
            <c:symbol val="x"/>
            <c:size val="7"/>
            <c:spPr>
              <a:noFill/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3691">
                <a:noFill/>
              </a:ln>
            </c:spPr>
            <c:txPr>
              <a:bodyPr/>
              <a:lstStyle/>
              <a:p>
                <a:pPr>
                  <a:defRPr sz="933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>
                  <c:v>1162.7</c:v>
                </c:pt>
                <c:pt idx="1">
                  <c:v>1218.7</c:v>
                </c:pt>
                <c:pt idx="2">
                  <c:v>1217.4000000000001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8543872"/>
        <c:axId val="107798912"/>
      </c:lineChart>
      <c:catAx>
        <c:axId val="78543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9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33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77989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798912"/>
        <c:scaling>
          <c:orientation val="minMax"/>
        </c:scaling>
        <c:delete val="0"/>
        <c:axPos val="l"/>
        <c:majorGridlines>
          <c:spPr>
            <a:ln w="296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9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33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78543872"/>
        <c:crosses val="autoZero"/>
        <c:crossBetween val="between"/>
      </c:valAx>
      <c:spPr>
        <a:solidFill>
          <a:srgbClr val="FFFFFF"/>
        </a:solidFill>
        <a:ln w="1184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56536012650733"/>
          <c:y val="0.12322274999626434"/>
          <c:w val="0.24019610626207491"/>
          <c:h val="0.68246449985793456"/>
        </c:manualLayout>
      </c:layout>
      <c:overlay val="0"/>
      <c:spPr>
        <a:solidFill>
          <a:srgbClr val="FFFFFF"/>
        </a:solidFill>
        <a:ln w="2961">
          <a:solidFill>
            <a:srgbClr val="000000"/>
          </a:solidFill>
          <a:prstDash val="solid"/>
        </a:ln>
      </c:spPr>
      <c:txPr>
        <a:bodyPr/>
        <a:lstStyle/>
        <a:p>
          <a:pPr>
            <a:defRPr sz="858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0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общей заболеваемости (всего) </a:t>
            </a:r>
          </a:p>
          <a:p>
            <a:pPr>
              <a:defRPr/>
            </a:pPr>
            <a:r>
              <a:rPr lang="ru-RU"/>
              <a:t>за 2018год</a:t>
            </a:r>
          </a:p>
        </c:rich>
      </c:tx>
      <c:layout>
        <c:manualLayout>
          <c:xMode val="edge"/>
          <c:yMode val="edge"/>
          <c:x val="0.15992163293047623"/>
          <c:y val="8.7399854333576124E-3"/>
        </c:manualLayout>
      </c:layout>
      <c:overlay val="0"/>
    </c:title>
    <c:autoTitleDeleted val="0"/>
    <c:view3D>
      <c:rotX val="60"/>
      <c:rotY val="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597682722289385"/>
          <c:y val="0.18917602583185938"/>
          <c:w val="0.51937041036280573"/>
          <c:h val="0.4352664147134558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заболеваемости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2926318554264191"/>
                  <c:y val="-4.072788633668243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953241946579255E-2"/>
                  <c:y val="-4.9820612006938415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872087471879205E-2"/>
                  <c:y val="-4.180214182615239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26571823484865E-2"/>
                  <c:y val="-2.508119336473283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0976845285815984"/>
                  <c:y val="-1.2146325555924009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7220168851582592E-2"/>
                  <c:y val="2.25520561723698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7574388112390906E-2"/>
                  <c:y val="2.073647117423423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5259003751721925E-2"/>
                  <c:y val="1.46419809483972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9063320262300337E-2"/>
                  <c:y val="4.039905521596744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5855639934190583E-2"/>
                  <c:y val="-6.56030003361939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9.6090905684916614E-2"/>
                  <c:y val="2.851984301163744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0941234189540197"/>
                  <c:y val="1.69256780836296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0.13535248920943463"/>
                  <c:y val="6.5638823604083196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5088726230141575"/>
                  <c:y val="-1.8481456736785556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0.13124476887674025"/>
                  <c:y val="-2.6989287680631874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Лист1!$A$2:$A$20</c:f>
              <c:strCache>
                <c:ptCount val="15"/>
                <c:pt idx="0">
                  <c:v>Инфекционные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Травмы и отравления</c:v>
                </c:pt>
              </c:strCache>
            </c:strRef>
          </c:cat>
          <c:val>
            <c:numRef>
              <c:f>Лист1!$B$2:$B$20</c:f>
              <c:numCache>
                <c:formatCode>0.00</c:formatCode>
                <c:ptCount val="19"/>
                <c:pt idx="0">
                  <c:v>4.4389263866001496</c:v>
                </c:pt>
                <c:pt idx="1">
                  <c:v>1.9743109325266941</c:v>
                </c:pt>
                <c:pt idx="2">
                  <c:v>0.66728368586198339</c:v>
                </c:pt>
                <c:pt idx="3">
                  <c:v>4.1386938757082552</c:v>
                </c:pt>
                <c:pt idx="4">
                  <c:v>0.76751168197927722</c:v>
                </c:pt>
                <c:pt idx="5">
                  <c:v>4.378428406961782</c:v>
                </c:pt>
                <c:pt idx="6">
                  <c:v>5.4949321655116377</c:v>
                </c:pt>
                <c:pt idx="7">
                  <c:v>2.0483532359646945</c:v>
                </c:pt>
                <c:pt idx="8">
                  <c:v>9.499085758143524</c:v>
                </c:pt>
                <c:pt idx="9">
                  <c:v>38.143524684530128</c:v>
                </c:pt>
                <c:pt idx="10">
                  <c:v>6.1337727713943888</c:v>
                </c:pt>
                <c:pt idx="11">
                  <c:v>4.4475044583399166</c:v>
                </c:pt>
                <c:pt idx="12">
                  <c:v>10.659382830312198</c:v>
                </c:pt>
                <c:pt idx="13">
                  <c:v>3.5585453396239188</c:v>
                </c:pt>
                <c:pt idx="14">
                  <c:v>2.9951014695591325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egendEntry>
        <c:idx val="15"/>
        <c:delete val="1"/>
      </c:legendEntry>
      <c:legendEntry>
        <c:idx val="16"/>
        <c:delete val="1"/>
      </c:legendEntry>
      <c:legendEntry>
        <c:idx val="17"/>
        <c:delete val="1"/>
      </c:legendEntry>
      <c:legendEntry>
        <c:idx val="18"/>
        <c:delete val="1"/>
      </c:legendEntry>
      <c:layout>
        <c:manualLayout>
          <c:xMode val="edge"/>
          <c:yMode val="edge"/>
          <c:x val="8.6328882114654462E-2"/>
          <c:y val="0.65052463713836473"/>
          <c:w val="0.80692290315604831"/>
          <c:h val="0.28636986278715176"/>
        </c:manualLayout>
      </c:layout>
      <c:overlay val="0"/>
    </c:legend>
    <c:plotVisOnly val="1"/>
    <c:dispBlanksAs val="zero"/>
    <c:showDLblsOverMax val="0"/>
  </c:chart>
  <c:spPr>
    <a:ln>
      <a:solidFill>
        <a:schemeClr val="tx1"/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общей заболеваемости (дети) </a:t>
            </a:r>
          </a:p>
          <a:p>
            <a:pPr>
              <a:defRPr/>
            </a:pPr>
            <a:r>
              <a:rPr lang="ru-RU"/>
              <a:t>за 2018 год</a:t>
            </a:r>
          </a:p>
        </c:rich>
      </c:tx>
      <c:layout>
        <c:manualLayout>
          <c:xMode val="edge"/>
          <c:yMode val="edge"/>
          <c:x val="0.15992163293047623"/>
          <c:y val="8.7399854333576124E-3"/>
        </c:manualLayout>
      </c:layout>
      <c:overlay val="0"/>
    </c:title>
    <c:autoTitleDeleted val="0"/>
    <c:view3D>
      <c:rotX val="60"/>
      <c:rotY val="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597682722289385"/>
          <c:y val="0.18917602583185938"/>
          <c:w val="0.51937041036280573"/>
          <c:h val="0.4352664147134558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заболеваемости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2926318554264191"/>
                  <c:y val="-4.072788633668243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953241946579255E-2"/>
                  <c:y val="-4.9820612006938415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872087471879205E-2"/>
                  <c:y val="-4.180214182615239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26571823484865E-2"/>
                  <c:y val="-2.508119336473283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0976845285815984"/>
                  <c:y val="-1.2146325555924009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7220168851582592E-2"/>
                  <c:y val="2.25520561723698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7574388112390906E-2"/>
                  <c:y val="2.073647117423423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5259003751721925E-2"/>
                  <c:y val="1.46419809483972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9063320262300337E-2"/>
                  <c:y val="4.039905521596744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5855639934190583E-2"/>
                  <c:y val="-6.56030003361939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9.6090905684916614E-2"/>
                  <c:y val="2.851984301163744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0941234189540197"/>
                  <c:y val="1.69256780836296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0.13535248920943463"/>
                  <c:y val="6.5638823604083196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5088726230141575"/>
                  <c:y val="-1.8481456736785556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0.13124476887674025"/>
                  <c:y val="-2.6989287680631874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Лист1!$A$2:$A$20</c:f>
              <c:strCache>
                <c:ptCount val="15"/>
                <c:pt idx="0">
                  <c:v>Инфекционные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Травмы и отравления</c:v>
                </c:pt>
              </c:strCache>
            </c:strRef>
          </c:cat>
          <c:val>
            <c:numRef>
              <c:f>Лист1!$B$2:$B$20</c:f>
              <c:numCache>
                <c:formatCode>0.00</c:formatCode>
                <c:ptCount val="19"/>
                <c:pt idx="0">
                  <c:v>2.7136668396691057</c:v>
                </c:pt>
                <c:pt idx="1">
                  <c:v>0.29657561089279855</c:v>
                </c:pt>
                <c:pt idx="2">
                  <c:v>0.31881878170975858</c:v>
                </c:pt>
                <c:pt idx="3">
                  <c:v>0.97869951594623505</c:v>
                </c:pt>
                <c:pt idx="4">
                  <c:v>0.48193536770079765</c:v>
                </c:pt>
                <c:pt idx="5">
                  <c:v>6.2037262607111465</c:v>
                </c:pt>
                <c:pt idx="6">
                  <c:v>5.0343709949052551</c:v>
                </c:pt>
                <c:pt idx="7">
                  <c:v>1.4849964516846552</c:v>
                </c:pt>
                <c:pt idx="8">
                  <c:v>0.31034519282710704</c:v>
                </c:pt>
                <c:pt idx="9">
                  <c:v>65.731747359947462</c:v>
                </c:pt>
                <c:pt idx="10">
                  <c:v>4.3829638495514285</c:v>
                </c:pt>
                <c:pt idx="11">
                  <c:v>3.8395949624514092</c:v>
                </c:pt>
                <c:pt idx="12">
                  <c:v>2.6479965258285585</c:v>
                </c:pt>
                <c:pt idx="13">
                  <c:v>1.5072396225016154</c:v>
                </c:pt>
                <c:pt idx="14">
                  <c:v>2.6946012646831408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egendEntry>
        <c:idx val="15"/>
        <c:delete val="1"/>
      </c:legendEntry>
      <c:legendEntry>
        <c:idx val="16"/>
        <c:delete val="1"/>
      </c:legendEntry>
      <c:legendEntry>
        <c:idx val="17"/>
        <c:delete val="1"/>
      </c:legendEntry>
      <c:legendEntry>
        <c:idx val="18"/>
        <c:delete val="1"/>
      </c:legendEntry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общей заболеваемости (подростки) </a:t>
            </a:r>
          </a:p>
          <a:p>
            <a:pPr>
              <a:defRPr/>
            </a:pPr>
            <a:r>
              <a:rPr lang="ru-RU"/>
              <a:t>за 2018 год</a:t>
            </a:r>
          </a:p>
        </c:rich>
      </c:tx>
      <c:layout>
        <c:manualLayout>
          <c:xMode val="edge"/>
          <c:yMode val="edge"/>
          <c:x val="0.15992163293047623"/>
          <c:y val="8.7399854333576124E-3"/>
        </c:manualLayout>
      </c:layout>
      <c:overlay val="0"/>
    </c:title>
    <c:autoTitleDeleted val="0"/>
    <c:view3D>
      <c:rotX val="60"/>
      <c:rotY val="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992907691062885"/>
          <c:y val="0.20349206681441687"/>
          <c:w val="0.51937041036280573"/>
          <c:h val="0.4352664147134558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заболеваемости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2926318554264191"/>
                  <c:y val="-4.072788633668243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953241946579255E-2"/>
                  <c:y val="-4.9820612006938415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872087471879205E-2"/>
                  <c:y val="-4.180214182615239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26571823484865E-2"/>
                  <c:y val="-2.508119336473283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0976845285815984"/>
                  <c:y val="-1.2146325555924009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7220168851582592E-2"/>
                  <c:y val="2.25520561723698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7574388112390906E-2"/>
                  <c:y val="2.073647117423423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5259003751721925E-2"/>
                  <c:y val="1.46419809483972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9063320262300337E-2"/>
                  <c:y val="4.039905521596744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5855639934190583E-2"/>
                  <c:y val="-6.56030003361939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9.6090905684916614E-2"/>
                  <c:y val="2.851984301163744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0941234189540197"/>
                  <c:y val="1.69256780836296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0.13535248920943463"/>
                  <c:y val="6.5638823604083196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5088726230141575"/>
                  <c:y val="-1.8481456736785556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0.13124476887674025"/>
                  <c:y val="-2.6989287680631874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Лист1!$A$2:$A$16</c:f>
              <c:strCache>
                <c:ptCount val="15"/>
                <c:pt idx="0">
                  <c:v>Инфекционные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Травмы и отравления</c:v>
                </c:pt>
              </c:strCache>
            </c:strRef>
          </c:cat>
          <c:val>
            <c:numRef>
              <c:f>Лист1!$B$2:$B$16</c:f>
              <c:numCache>
                <c:formatCode>0.00</c:formatCode>
                <c:ptCount val="15"/>
                <c:pt idx="0">
                  <c:v>1.6287832745836881</c:v>
                </c:pt>
                <c:pt idx="1">
                  <c:v>0.71715084477938495</c:v>
                </c:pt>
                <c:pt idx="2">
                  <c:v>0.96025282606053253</c:v>
                </c:pt>
                <c:pt idx="3">
                  <c:v>3.6951501154734405</c:v>
                </c:pt>
                <c:pt idx="4">
                  <c:v>1.5923179773915161</c:v>
                </c:pt>
                <c:pt idx="5">
                  <c:v>7.7549532028686023</c:v>
                </c:pt>
                <c:pt idx="6">
                  <c:v>5.4576394797617604</c:v>
                </c:pt>
                <c:pt idx="7">
                  <c:v>1.6166281755196306</c:v>
                </c:pt>
                <c:pt idx="8">
                  <c:v>1.3127506989181961</c:v>
                </c:pt>
                <c:pt idx="9">
                  <c:v>33.827640695271654</c:v>
                </c:pt>
                <c:pt idx="10">
                  <c:v>6.2234107207973741</c:v>
                </c:pt>
                <c:pt idx="11">
                  <c:v>7.475385924395284</c:v>
                </c:pt>
                <c:pt idx="12">
                  <c:v>10.988209553907867</c:v>
                </c:pt>
                <c:pt idx="13">
                  <c:v>10.149507718487907</c:v>
                </c:pt>
                <c:pt idx="14">
                  <c:v>5.8344475507475373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общей заболеваемости (взрослые) </a:t>
            </a:r>
          </a:p>
          <a:p>
            <a:pPr>
              <a:defRPr/>
            </a:pPr>
            <a:r>
              <a:rPr lang="ru-RU"/>
              <a:t>за 2018 год</a:t>
            </a:r>
          </a:p>
        </c:rich>
      </c:tx>
      <c:layout>
        <c:manualLayout>
          <c:xMode val="edge"/>
          <c:yMode val="edge"/>
          <c:x val="0.15992163293047623"/>
          <c:y val="8.7399854333576124E-3"/>
        </c:manualLayout>
      </c:layout>
      <c:overlay val="0"/>
    </c:title>
    <c:autoTitleDeleted val="0"/>
    <c:view3D>
      <c:rotX val="60"/>
      <c:rotY val="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992907691062885"/>
          <c:y val="0.20349206681441687"/>
          <c:w val="0.51937041036280573"/>
          <c:h val="0.4352664147134558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заболеваемости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2926318554264191"/>
                  <c:y val="-4.072788633668243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953241946579255E-2"/>
                  <c:y val="-4.9820612006938415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872087471879205E-2"/>
                  <c:y val="-4.180214182615239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26571823484865E-2"/>
                  <c:y val="-2.5081193364732839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0976845285815984"/>
                  <c:y val="-1.2146325555924009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7220168851582592E-2"/>
                  <c:y val="2.25520561723698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7574388112390906E-2"/>
                  <c:y val="2.073647117423423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3.5259003751721925E-2"/>
                  <c:y val="1.464198094839721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9063320262300337E-2"/>
                  <c:y val="4.039905521596744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5855639934190583E-2"/>
                  <c:y val="-6.560300033619397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9.6090905684916614E-2"/>
                  <c:y val="2.8519843011637448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0941234189540197"/>
                  <c:y val="1.692567808362962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0.13535248920943463"/>
                  <c:y val="6.5638823604083196E-3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5088726230141575"/>
                  <c:y val="-1.8481456736785556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0.13124476887674025"/>
                  <c:y val="-2.6989287680631874E-2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Лист1!$A$2:$A$16</c:f>
              <c:strCache>
                <c:ptCount val="15"/>
                <c:pt idx="0">
                  <c:v>Инфекционные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Травмы и отравления</c:v>
                </c:pt>
              </c:strCache>
            </c:strRef>
          </c:cat>
          <c:val>
            <c:numRef>
              <c:f>Лист1!$B$2:$B$16</c:f>
              <c:numCache>
                <c:formatCode>0.00</c:formatCode>
                <c:ptCount val="15"/>
                <c:pt idx="0">
                  <c:v>6.0038533700160697</c:v>
                </c:pt>
                <c:pt idx="1">
                  <c:v>3.3939944639356536</c:v>
                </c:pt>
                <c:pt idx="2">
                  <c:v>0.92379918725863863</c:v>
                </c:pt>
                <c:pt idx="3">
                  <c:v>6.6794551435758924</c:v>
                </c:pt>
                <c:pt idx="4">
                  <c:v>0.93726074189992992</c:v>
                </c:pt>
                <c:pt idx="5">
                  <c:v>2.6948349697535692</c:v>
                </c:pt>
                <c:pt idx="6">
                  <c:v>5.8633483934475894</c:v>
                </c:pt>
                <c:pt idx="7">
                  <c:v>2.5257241895723435</c:v>
                </c:pt>
                <c:pt idx="8">
                  <c:v>17.364564140101127</c:v>
                </c:pt>
                <c:pt idx="9">
                  <c:v>16.528265058010891</c:v>
                </c:pt>
                <c:pt idx="10">
                  <c:v>7.5182782671613788</c:v>
                </c:pt>
                <c:pt idx="11">
                  <c:v>4.7207989432679609</c:v>
                </c:pt>
                <c:pt idx="12">
                  <c:v>17.000260817621172</c:v>
                </c:pt>
                <c:pt idx="13">
                  <c:v>4.7317364564140103</c:v>
                </c:pt>
                <c:pt idx="14">
                  <c:v>3.0372632659414256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3.0877222901595055E-2"/>
          <c:y val="0.64644035076844319"/>
          <c:w val="0.87351294899900467"/>
          <c:h val="0.25911203231976121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2AE42-F552-4D18-B748-5ED50158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8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152</cp:revision>
  <cp:lastPrinted>2018-02-03T10:09:00Z</cp:lastPrinted>
  <dcterms:created xsi:type="dcterms:W3CDTF">2014-01-17T08:49:00Z</dcterms:created>
  <dcterms:modified xsi:type="dcterms:W3CDTF">2019-02-11T06:18:00Z</dcterms:modified>
</cp:coreProperties>
</file>