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001977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3267D2">
        <w:tc>
          <w:tcPr>
            <w:tcW w:w="4928" w:type="dxa"/>
          </w:tcPr>
          <w:p w:rsidR="001F7970" w:rsidRPr="003267D2" w:rsidRDefault="003267D2" w:rsidP="0030464A">
            <w:pPr>
              <w:spacing w:line="276" w:lineRule="auto"/>
              <w:rPr>
                <w:sz w:val="28"/>
                <w:szCs w:val="28"/>
              </w:rPr>
            </w:pPr>
            <w:r w:rsidRPr="003267D2">
              <w:rPr>
                <w:sz w:val="28"/>
                <w:szCs w:val="28"/>
              </w:rPr>
              <w:t>Исх. от 31.10.2018 № 465</w:t>
            </w:r>
          </w:p>
        </w:tc>
        <w:tc>
          <w:tcPr>
            <w:tcW w:w="4961" w:type="dxa"/>
          </w:tcPr>
          <w:p w:rsidR="001F7970" w:rsidRPr="00043C32" w:rsidRDefault="001F7970" w:rsidP="0030464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F7970" w:rsidRDefault="001F7970" w:rsidP="001F7970"/>
    <w:p w:rsidR="00737C08" w:rsidRDefault="00737C08" w:rsidP="001F7970">
      <w:pPr>
        <w:jc w:val="center"/>
        <w:rPr>
          <w:b/>
          <w:sz w:val="28"/>
          <w:szCs w:val="28"/>
        </w:rPr>
      </w:pPr>
    </w:p>
    <w:p w:rsidR="00737C08" w:rsidRDefault="00737C08" w:rsidP="001F7970">
      <w:pPr>
        <w:jc w:val="center"/>
        <w:rPr>
          <w:b/>
          <w:sz w:val="28"/>
          <w:szCs w:val="28"/>
        </w:rPr>
      </w:pPr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Заключение на проект муниципальн</w:t>
      </w:r>
      <w:r w:rsidR="00083B56">
        <w:rPr>
          <w:b/>
          <w:sz w:val="28"/>
          <w:szCs w:val="28"/>
        </w:rPr>
        <w:t>ой</w:t>
      </w:r>
      <w:r w:rsidRPr="003B7E71">
        <w:rPr>
          <w:b/>
          <w:sz w:val="28"/>
          <w:szCs w:val="28"/>
        </w:rPr>
        <w:t xml:space="preserve"> программ</w:t>
      </w:r>
      <w:r w:rsidR="00083B56">
        <w:rPr>
          <w:b/>
          <w:sz w:val="28"/>
          <w:szCs w:val="28"/>
        </w:rPr>
        <w:t>ы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 w:rsidR="00083B56">
        <w:rPr>
          <w:b/>
          <w:sz w:val="28"/>
          <w:szCs w:val="28"/>
        </w:rPr>
        <w:t xml:space="preserve"> Нефтеюганска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тной палате города Нефтеюганска, рассмотрев проект муниципальн</w:t>
      </w:r>
      <w:r w:rsidR="00083B56">
        <w:rPr>
          <w:sz w:val="28"/>
          <w:szCs w:val="28"/>
        </w:rPr>
        <w:t>ой</w:t>
      </w:r>
      <w:r w:rsidRPr="0057570E">
        <w:rPr>
          <w:sz w:val="28"/>
          <w:szCs w:val="28"/>
        </w:rPr>
        <w:t xml:space="preserve"> программ</w:t>
      </w:r>
      <w:r w:rsidR="00083B56">
        <w:rPr>
          <w:sz w:val="28"/>
          <w:szCs w:val="28"/>
        </w:rPr>
        <w:t>ы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083B56">
        <w:rPr>
          <w:sz w:val="28"/>
          <w:szCs w:val="28"/>
        </w:rPr>
        <w:t>муниципальн</w:t>
      </w:r>
      <w:r w:rsidR="004A47C6">
        <w:rPr>
          <w:sz w:val="28"/>
          <w:szCs w:val="28"/>
        </w:rPr>
        <w:t>ой</w:t>
      </w:r>
      <w:r w:rsidR="00083B56">
        <w:rPr>
          <w:sz w:val="28"/>
          <w:szCs w:val="28"/>
        </w:rPr>
        <w:t xml:space="preserve"> программы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Pr="008C5C4E" w:rsidRDefault="00C64261" w:rsidP="00C64261">
      <w:pPr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При проведении экспертизы учитывалось наличие согласования проекта </w:t>
      </w:r>
      <w:r w:rsidR="008C5C4E" w:rsidRPr="008C5C4E">
        <w:rPr>
          <w:sz w:val="28"/>
          <w:szCs w:val="28"/>
        </w:rPr>
        <w:t>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342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0C4BA0" w:rsidRDefault="000C4BA0" w:rsidP="000C4B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Постановлением администрации города Нефтеюганска от 28.08.2018        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в целях совершенствования структуры муниципальных программ</w:t>
      </w:r>
      <w:r w:rsidR="002D2459">
        <w:rPr>
          <w:sz w:val="28"/>
          <w:szCs w:val="28"/>
        </w:rPr>
        <w:t xml:space="preserve"> утверждены:</w:t>
      </w:r>
    </w:p>
    <w:p w:rsidR="002D2459" w:rsidRPr="002D2459" w:rsidRDefault="002D2459" w:rsidP="000C4BA0">
      <w:pPr>
        <w:ind w:firstLine="709"/>
        <w:jc w:val="both"/>
        <w:rPr>
          <w:sz w:val="28"/>
          <w:szCs w:val="28"/>
        </w:rPr>
      </w:pPr>
      <w:r w:rsidRPr="002D2459">
        <w:rPr>
          <w:sz w:val="28"/>
          <w:szCs w:val="28"/>
        </w:rPr>
        <w:t>- Порядок принятия решения о разработке муниципальных программ города Нефтеюганска, их формирования, утверждения и реализации (далее по тексту - Порядок);</w:t>
      </w:r>
    </w:p>
    <w:p w:rsidR="000C4BA0" w:rsidRDefault="002D2459" w:rsidP="00F6487C">
      <w:pPr>
        <w:ind w:firstLine="709"/>
        <w:jc w:val="both"/>
        <w:rPr>
          <w:sz w:val="28"/>
          <w:szCs w:val="28"/>
        </w:rPr>
      </w:pPr>
      <w:r w:rsidRPr="002D2459">
        <w:rPr>
          <w:sz w:val="28"/>
          <w:szCs w:val="28"/>
        </w:rPr>
        <w:t>- Модельная муниципальная программа города Нефтеюганска (далее по тексту - Модельная муниципальная программа).</w:t>
      </w:r>
    </w:p>
    <w:p w:rsidR="00083B56" w:rsidRDefault="00083B56" w:rsidP="00302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</w:t>
      </w:r>
      <w:r w:rsidR="006B0D88">
        <w:rPr>
          <w:sz w:val="28"/>
          <w:szCs w:val="28"/>
        </w:rPr>
        <w:t xml:space="preserve">расчёты </w:t>
      </w:r>
      <w:r>
        <w:rPr>
          <w:sz w:val="28"/>
          <w:szCs w:val="28"/>
        </w:rPr>
        <w:t xml:space="preserve">планируемых расходов </w:t>
      </w:r>
      <w:r w:rsidR="00F1703B">
        <w:rPr>
          <w:sz w:val="28"/>
          <w:szCs w:val="28"/>
        </w:rPr>
        <w:t>предоставлен</w:t>
      </w:r>
      <w:r w:rsidR="006B0D88">
        <w:rPr>
          <w:sz w:val="28"/>
          <w:szCs w:val="28"/>
        </w:rPr>
        <w:t>ы</w:t>
      </w:r>
      <w:r w:rsidR="00F1703B">
        <w:rPr>
          <w:sz w:val="28"/>
          <w:szCs w:val="28"/>
        </w:rPr>
        <w:t xml:space="preserve"> ответственным исполнителем </w:t>
      </w:r>
      <w:r w:rsidR="00D61BE4">
        <w:rPr>
          <w:sz w:val="28"/>
          <w:szCs w:val="28"/>
        </w:rPr>
        <w:t xml:space="preserve">муниципальной программы </w:t>
      </w:r>
      <w:r w:rsidR="00F1703B">
        <w:rPr>
          <w:sz w:val="28"/>
          <w:szCs w:val="28"/>
        </w:rPr>
        <w:t xml:space="preserve">на </w:t>
      </w:r>
      <w:r w:rsidR="00A07ACA">
        <w:rPr>
          <w:sz w:val="28"/>
          <w:szCs w:val="28"/>
        </w:rPr>
        <w:t>очередной финансовый год и плановый период</w:t>
      </w:r>
      <w:r w:rsidR="00D61BE4">
        <w:rPr>
          <w:sz w:val="28"/>
          <w:szCs w:val="28"/>
        </w:rPr>
        <w:t xml:space="preserve">, соответственно </w:t>
      </w:r>
      <w:r w:rsidR="00302909">
        <w:rPr>
          <w:sz w:val="28"/>
          <w:szCs w:val="28"/>
        </w:rPr>
        <w:t>направлени</w:t>
      </w:r>
      <w:r w:rsidR="006B0D88">
        <w:rPr>
          <w:sz w:val="28"/>
          <w:szCs w:val="28"/>
        </w:rPr>
        <w:t>е</w:t>
      </w:r>
      <w:r w:rsidR="00302909">
        <w:rPr>
          <w:sz w:val="28"/>
          <w:szCs w:val="28"/>
        </w:rPr>
        <w:t xml:space="preserve"> расходов мероприятий муниципальной программы указывается в настоящем заключении</w:t>
      </w:r>
      <w:r w:rsidR="00A07ACA">
        <w:rPr>
          <w:sz w:val="28"/>
          <w:szCs w:val="28"/>
        </w:rPr>
        <w:t xml:space="preserve"> на 2019, 2020, 2021 годы</w:t>
      </w:r>
      <w:r w:rsidR="003006D2">
        <w:rPr>
          <w:sz w:val="28"/>
          <w:szCs w:val="28"/>
        </w:rPr>
        <w:t>.</w:t>
      </w:r>
    </w:p>
    <w:p w:rsidR="00F94D89" w:rsidRDefault="00141DD0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 xml:space="preserve">. </w:t>
      </w:r>
      <w:r w:rsidR="00083B56">
        <w:rPr>
          <w:sz w:val="28"/>
          <w:szCs w:val="28"/>
        </w:rPr>
        <w:t>Муниципальной программой</w:t>
      </w:r>
      <w:r w:rsidR="001522E1">
        <w:rPr>
          <w:sz w:val="28"/>
          <w:szCs w:val="28"/>
        </w:rPr>
        <w:t xml:space="preserve"> планируется</w:t>
      </w:r>
      <w:r w:rsidR="001F7970">
        <w:rPr>
          <w:sz w:val="28"/>
          <w:szCs w:val="28"/>
        </w:rPr>
        <w:t xml:space="preserve"> </w:t>
      </w:r>
      <w:r w:rsidR="003576B6">
        <w:rPr>
          <w:sz w:val="28"/>
          <w:szCs w:val="28"/>
        </w:rPr>
        <w:t>финансирование</w:t>
      </w:r>
      <w:r w:rsidR="00336C87">
        <w:rPr>
          <w:sz w:val="28"/>
          <w:szCs w:val="28"/>
        </w:rPr>
        <w:t xml:space="preserve"> </w:t>
      </w:r>
      <w:r w:rsidR="00F94D89">
        <w:rPr>
          <w:sz w:val="28"/>
          <w:szCs w:val="28"/>
        </w:rPr>
        <w:t xml:space="preserve">следующих </w:t>
      </w:r>
      <w:r w:rsidR="00336C87">
        <w:rPr>
          <w:sz w:val="28"/>
          <w:szCs w:val="28"/>
        </w:rPr>
        <w:t>мероприятий</w:t>
      </w:r>
      <w:r w:rsidR="00F94D89">
        <w:rPr>
          <w:sz w:val="28"/>
          <w:szCs w:val="28"/>
        </w:rPr>
        <w:t>:</w:t>
      </w:r>
    </w:p>
    <w:p w:rsidR="00EC274B" w:rsidRPr="006B0D88" w:rsidRDefault="00DA5679" w:rsidP="00EC274B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2.1. «Обеспечение исполнения муниципальн</w:t>
      </w:r>
      <w:r w:rsidR="00A87BD3" w:rsidRPr="006B0D88">
        <w:rPr>
          <w:i/>
          <w:sz w:val="28"/>
          <w:szCs w:val="28"/>
        </w:rPr>
        <w:t>ых функций администрации» за счё</w:t>
      </w:r>
      <w:r w:rsidRPr="006B0D88">
        <w:rPr>
          <w:i/>
          <w:sz w:val="28"/>
          <w:szCs w:val="28"/>
        </w:rPr>
        <w:t xml:space="preserve">т </w:t>
      </w:r>
      <w:r w:rsidR="008B24E2" w:rsidRPr="006B0D88">
        <w:rPr>
          <w:i/>
          <w:sz w:val="28"/>
          <w:szCs w:val="28"/>
        </w:rPr>
        <w:t>средств местного бюджета на 201</w:t>
      </w:r>
      <w:r w:rsidR="00772C90" w:rsidRPr="006B0D88">
        <w:rPr>
          <w:i/>
          <w:sz w:val="28"/>
          <w:szCs w:val="28"/>
        </w:rPr>
        <w:t>9</w:t>
      </w:r>
      <w:r w:rsidRPr="006B0D88">
        <w:rPr>
          <w:i/>
          <w:sz w:val="28"/>
          <w:szCs w:val="28"/>
        </w:rPr>
        <w:t xml:space="preserve"> год </w:t>
      </w:r>
      <w:r w:rsidR="00772C90" w:rsidRPr="006B0D88">
        <w:rPr>
          <w:i/>
          <w:sz w:val="28"/>
          <w:szCs w:val="28"/>
        </w:rPr>
        <w:t>273 168,800</w:t>
      </w:r>
      <w:r w:rsidRPr="006B0D88">
        <w:rPr>
          <w:i/>
          <w:sz w:val="28"/>
          <w:szCs w:val="28"/>
        </w:rPr>
        <w:t xml:space="preserve"> тыс. рублей, на 20</w:t>
      </w:r>
      <w:r w:rsidR="00772C90" w:rsidRPr="006B0D88">
        <w:rPr>
          <w:i/>
          <w:sz w:val="28"/>
          <w:szCs w:val="28"/>
        </w:rPr>
        <w:t>20</w:t>
      </w:r>
      <w:r w:rsidRPr="006B0D88">
        <w:rPr>
          <w:i/>
          <w:sz w:val="28"/>
          <w:szCs w:val="28"/>
        </w:rPr>
        <w:t xml:space="preserve"> год </w:t>
      </w:r>
      <w:r w:rsidR="00772C90" w:rsidRPr="006B0D88">
        <w:rPr>
          <w:i/>
          <w:sz w:val="28"/>
          <w:szCs w:val="28"/>
        </w:rPr>
        <w:t>272 160,</w:t>
      </w:r>
      <w:r w:rsidR="00AA10B9" w:rsidRPr="006B0D88">
        <w:rPr>
          <w:i/>
          <w:sz w:val="28"/>
          <w:szCs w:val="28"/>
        </w:rPr>
        <w:t>800 тыс.</w:t>
      </w:r>
      <w:r w:rsidRPr="006B0D88">
        <w:rPr>
          <w:i/>
          <w:sz w:val="28"/>
          <w:szCs w:val="28"/>
        </w:rPr>
        <w:t xml:space="preserve"> рублей, на 20</w:t>
      </w:r>
      <w:r w:rsidR="008B24E2" w:rsidRPr="006B0D88">
        <w:rPr>
          <w:i/>
          <w:sz w:val="28"/>
          <w:szCs w:val="28"/>
        </w:rPr>
        <w:t>2</w:t>
      </w:r>
      <w:r w:rsidR="00772C90" w:rsidRPr="006B0D88">
        <w:rPr>
          <w:i/>
          <w:sz w:val="28"/>
          <w:szCs w:val="28"/>
        </w:rPr>
        <w:t>1</w:t>
      </w:r>
      <w:r w:rsidRPr="006B0D88">
        <w:rPr>
          <w:i/>
          <w:sz w:val="28"/>
          <w:szCs w:val="28"/>
        </w:rPr>
        <w:t xml:space="preserve"> год </w:t>
      </w:r>
      <w:r w:rsidR="00772C90" w:rsidRPr="006B0D88">
        <w:rPr>
          <w:i/>
          <w:sz w:val="28"/>
          <w:szCs w:val="28"/>
        </w:rPr>
        <w:t>272 971,600</w:t>
      </w:r>
      <w:r w:rsidRPr="006B0D88">
        <w:rPr>
          <w:i/>
          <w:sz w:val="28"/>
          <w:szCs w:val="28"/>
        </w:rPr>
        <w:t xml:space="preserve"> тыс. </w:t>
      </w:r>
      <w:r w:rsidR="00AA10B9" w:rsidRPr="006B0D88">
        <w:rPr>
          <w:i/>
          <w:sz w:val="28"/>
          <w:szCs w:val="28"/>
        </w:rPr>
        <w:t>рублей, из</w:t>
      </w:r>
      <w:r w:rsidR="00272AD8" w:rsidRPr="006B0D88">
        <w:rPr>
          <w:i/>
          <w:sz w:val="28"/>
          <w:szCs w:val="28"/>
        </w:rPr>
        <w:t xml:space="preserve"> них:</w:t>
      </w:r>
    </w:p>
    <w:p w:rsidR="00010145" w:rsidRDefault="00851D85" w:rsidP="00010145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240B">
        <w:rPr>
          <w:sz w:val="28"/>
          <w:szCs w:val="28"/>
        </w:rPr>
        <w:t>2.</w:t>
      </w:r>
      <w:r w:rsidR="00983053" w:rsidRPr="004B240B">
        <w:rPr>
          <w:sz w:val="28"/>
          <w:szCs w:val="28"/>
        </w:rPr>
        <w:t>1</w:t>
      </w:r>
      <w:r w:rsidR="00083B56">
        <w:rPr>
          <w:sz w:val="28"/>
          <w:szCs w:val="28"/>
        </w:rPr>
        <w:t xml:space="preserve">.1. На обеспечение функций </w:t>
      </w:r>
      <w:r w:rsidRPr="004B240B">
        <w:rPr>
          <w:sz w:val="28"/>
          <w:szCs w:val="28"/>
        </w:rPr>
        <w:t xml:space="preserve">администрации города Нефтеюганска </w:t>
      </w:r>
      <w:r w:rsidR="00443A17" w:rsidRPr="004B240B">
        <w:rPr>
          <w:sz w:val="28"/>
          <w:szCs w:val="28"/>
        </w:rPr>
        <w:t xml:space="preserve">на </w:t>
      </w:r>
      <w:r w:rsidRPr="004B240B">
        <w:rPr>
          <w:sz w:val="28"/>
          <w:szCs w:val="28"/>
        </w:rPr>
        <w:t>201</w:t>
      </w:r>
      <w:r w:rsidR="00083B56">
        <w:rPr>
          <w:sz w:val="28"/>
          <w:szCs w:val="28"/>
        </w:rPr>
        <w:t>9</w:t>
      </w:r>
      <w:r w:rsidRPr="004B240B">
        <w:rPr>
          <w:sz w:val="28"/>
          <w:szCs w:val="28"/>
        </w:rPr>
        <w:t xml:space="preserve"> год </w:t>
      </w:r>
      <w:r w:rsidR="00BE3D23">
        <w:rPr>
          <w:sz w:val="28"/>
          <w:szCs w:val="28"/>
        </w:rPr>
        <w:t>191 593,500</w:t>
      </w:r>
      <w:r w:rsidRPr="004B240B">
        <w:rPr>
          <w:sz w:val="28"/>
          <w:szCs w:val="28"/>
        </w:rPr>
        <w:t xml:space="preserve"> тыс. рублей, </w:t>
      </w:r>
      <w:r w:rsidR="00443A17" w:rsidRPr="004B240B">
        <w:rPr>
          <w:sz w:val="28"/>
          <w:szCs w:val="28"/>
        </w:rPr>
        <w:t xml:space="preserve">на </w:t>
      </w:r>
      <w:r w:rsidRPr="004B240B">
        <w:rPr>
          <w:sz w:val="28"/>
          <w:szCs w:val="28"/>
        </w:rPr>
        <w:t>20</w:t>
      </w:r>
      <w:r w:rsidR="00083B56">
        <w:rPr>
          <w:sz w:val="28"/>
          <w:szCs w:val="28"/>
        </w:rPr>
        <w:t>20</w:t>
      </w:r>
      <w:r w:rsidRPr="004B240B">
        <w:rPr>
          <w:sz w:val="28"/>
          <w:szCs w:val="28"/>
        </w:rPr>
        <w:t xml:space="preserve"> год</w:t>
      </w:r>
      <w:r w:rsidR="00443A17" w:rsidRPr="004B240B">
        <w:rPr>
          <w:sz w:val="28"/>
          <w:szCs w:val="28"/>
        </w:rPr>
        <w:t xml:space="preserve"> </w:t>
      </w:r>
      <w:r w:rsidR="005D1823">
        <w:rPr>
          <w:sz w:val="28"/>
          <w:szCs w:val="28"/>
        </w:rPr>
        <w:t>192 737,800</w:t>
      </w:r>
      <w:r w:rsidRPr="004B240B">
        <w:rPr>
          <w:sz w:val="28"/>
          <w:szCs w:val="28"/>
        </w:rPr>
        <w:t xml:space="preserve"> тыс. рублей, </w:t>
      </w:r>
      <w:r w:rsidR="00443A17" w:rsidRPr="004B240B">
        <w:rPr>
          <w:sz w:val="28"/>
          <w:szCs w:val="28"/>
        </w:rPr>
        <w:t xml:space="preserve">на </w:t>
      </w:r>
      <w:r w:rsidRPr="004B240B">
        <w:rPr>
          <w:sz w:val="28"/>
          <w:szCs w:val="28"/>
        </w:rPr>
        <w:t>20</w:t>
      </w:r>
      <w:r w:rsidR="00EC274B" w:rsidRPr="004B240B">
        <w:rPr>
          <w:sz w:val="28"/>
          <w:szCs w:val="28"/>
        </w:rPr>
        <w:t>20</w:t>
      </w:r>
      <w:r w:rsidRPr="004B240B">
        <w:rPr>
          <w:sz w:val="28"/>
          <w:szCs w:val="28"/>
        </w:rPr>
        <w:t xml:space="preserve"> год </w:t>
      </w:r>
      <w:r w:rsidR="005D1823">
        <w:rPr>
          <w:sz w:val="28"/>
          <w:szCs w:val="28"/>
        </w:rPr>
        <w:t>191 396,600</w:t>
      </w:r>
      <w:r w:rsidR="002E0F2A" w:rsidRPr="004B240B">
        <w:rPr>
          <w:sz w:val="28"/>
          <w:szCs w:val="28"/>
        </w:rPr>
        <w:t xml:space="preserve"> тыс. рублей.</w:t>
      </w:r>
    </w:p>
    <w:p w:rsidR="00851D85" w:rsidRDefault="00851D85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B306C6">
        <w:rPr>
          <w:sz w:val="28"/>
          <w:szCs w:val="28"/>
        </w:rPr>
        <w:t>2.</w:t>
      </w:r>
      <w:r w:rsidR="00983053" w:rsidRPr="00B306C6">
        <w:rPr>
          <w:sz w:val="28"/>
          <w:szCs w:val="28"/>
        </w:rPr>
        <w:t>1</w:t>
      </w:r>
      <w:r w:rsidRPr="00B306C6">
        <w:rPr>
          <w:sz w:val="28"/>
          <w:szCs w:val="28"/>
        </w:rPr>
        <w:t>.2. На обеспечение деятельности</w:t>
      </w:r>
      <w:r w:rsidR="00DA7927" w:rsidRPr="00B306C6">
        <w:rPr>
          <w:sz w:val="28"/>
          <w:szCs w:val="28"/>
        </w:rPr>
        <w:t xml:space="preserve"> (оказание</w:t>
      </w:r>
      <w:r w:rsidR="00CF3C1A" w:rsidRPr="00B306C6">
        <w:rPr>
          <w:sz w:val="28"/>
          <w:szCs w:val="28"/>
        </w:rPr>
        <w:t xml:space="preserve"> услуг) </w:t>
      </w:r>
      <w:r w:rsidRPr="00B306C6">
        <w:rPr>
          <w:sz w:val="28"/>
          <w:szCs w:val="28"/>
        </w:rPr>
        <w:t>муниципальн</w:t>
      </w:r>
      <w:r w:rsidR="00CF3C1A" w:rsidRPr="00B306C6">
        <w:rPr>
          <w:sz w:val="28"/>
          <w:szCs w:val="28"/>
        </w:rPr>
        <w:t>ых</w:t>
      </w:r>
      <w:r w:rsidRPr="00B306C6">
        <w:rPr>
          <w:sz w:val="28"/>
          <w:szCs w:val="28"/>
        </w:rPr>
        <w:t xml:space="preserve"> учреждени</w:t>
      </w:r>
      <w:r w:rsidR="00CF3C1A" w:rsidRPr="00B306C6">
        <w:rPr>
          <w:sz w:val="28"/>
          <w:szCs w:val="28"/>
        </w:rPr>
        <w:t>й (муниципально</w:t>
      </w:r>
      <w:r w:rsidR="00DA7927" w:rsidRPr="00B306C6">
        <w:rPr>
          <w:sz w:val="28"/>
          <w:szCs w:val="28"/>
        </w:rPr>
        <w:t>го</w:t>
      </w:r>
      <w:r w:rsidR="00A87BD3">
        <w:rPr>
          <w:sz w:val="28"/>
          <w:szCs w:val="28"/>
        </w:rPr>
        <w:t xml:space="preserve"> казё</w:t>
      </w:r>
      <w:r w:rsidR="00CF3C1A" w:rsidRPr="00B306C6">
        <w:rPr>
          <w:sz w:val="28"/>
          <w:szCs w:val="28"/>
        </w:rPr>
        <w:t>нно</w:t>
      </w:r>
      <w:r w:rsidR="00DA7927" w:rsidRPr="00B306C6">
        <w:rPr>
          <w:sz w:val="28"/>
          <w:szCs w:val="28"/>
        </w:rPr>
        <w:t>го учреждения</w:t>
      </w:r>
      <w:r w:rsidR="00CF3C1A" w:rsidRPr="00B306C6">
        <w:rPr>
          <w:sz w:val="28"/>
          <w:szCs w:val="28"/>
        </w:rPr>
        <w:t xml:space="preserve"> «Управление по обеспечению деятельности органов местного самоуправления города Нефтеюганска» (далее по тексту – МКУ «УпОДОМС»)</w:t>
      </w:r>
      <w:r w:rsidRPr="00B306C6">
        <w:rPr>
          <w:sz w:val="28"/>
          <w:szCs w:val="28"/>
        </w:rPr>
        <w:t xml:space="preserve"> </w:t>
      </w:r>
      <w:r w:rsidR="00DA7927" w:rsidRPr="00B306C6">
        <w:rPr>
          <w:sz w:val="28"/>
          <w:szCs w:val="28"/>
        </w:rPr>
        <w:t>на</w:t>
      </w:r>
      <w:r w:rsidR="00B306C6">
        <w:rPr>
          <w:sz w:val="28"/>
          <w:szCs w:val="28"/>
        </w:rPr>
        <w:t xml:space="preserve"> 201</w:t>
      </w:r>
      <w:r w:rsidR="00562184">
        <w:rPr>
          <w:sz w:val="28"/>
          <w:szCs w:val="28"/>
        </w:rPr>
        <w:t>9</w:t>
      </w:r>
      <w:r w:rsidRPr="00B306C6">
        <w:rPr>
          <w:sz w:val="28"/>
          <w:szCs w:val="28"/>
        </w:rPr>
        <w:t xml:space="preserve"> год </w:t>
      </w:r>
      <w:r w:rsidR="00562184">
        <w:rPr>
          <w:sz w:val="28"/>
          <w:szCs w:val="28"/>
        </w:rPr>
        <w:t>81 575,300</w:t>
      </w:r>
      <w:r w:rsidRPr="00B306C6">
        <w:rPr>
          <w:sz w:val="28"/>
          <w:szCs w:val="28"/>
        </w:rPr>
        <w:t xml:space="preserve"> тыс. рублей,</w:t>
      </w:r>
      <w:r w:rsidR="00F3449A" w:rsidRPr="00B306C6">
        <w:rPr>
          <w:sz w:val="28"/>
          <w:szCs w:val="28"/>
        </w:rPr>
        <w:t xml:space="preserve"> </w:t>
      </w:r>
      <w:r w:rsidR="00DA7927" w:rsidRPr="00B306C6">
        <w:rPr>
          <w:sz w:val="28"/>
          <w:szCs w:val="28"/>
        </w:rPr>
        <w:t>на</w:t>
      </w:r>
      <w:r w:rsidRPr="00B306C6">
        <w:rPr>
          <w:sz w:val="28"/>
          <w:szCs w:val="28"/>
        </w:rPr>
        <w:t xml:space="preserve"> 20</w:t>
      </w:r>
      <w:r w:rsidR="00562184">
        <w:rPr>
          <w:sz w:val="28"/>
          <w:szCs w:val="28"/>
        </w:rPr>
        <w:t>20</w:t>
      </w:r>
      <w:r w:rsidRPr="00B306C6">
        <w:rPr>
          <w:sz w:val="28"/>
          <w:szCs w:val="28"/>
        </w:rPr>
        <w:t xml:space="preserve"> год </w:t>
      </w:r>
      <w:r w:rsidR="00562184">
        <w:rPr>
          <w:sz w:val="28"/>
          <w:szCs w:val="28"/>
        </w:rPr>
        <w:t>79 423,000</w:t>
      </w:r>
      <w:r w:rsidRPr="00B306C6">
        <w:rPr>
          <w:sz w:val="28"/>
          <w:szCs w:val="28"/>
        </w:rPr>
        <w:t xml:space="preserve"> тыс. рублей,</w:t>
      </w:r>
      <w:r w:rsidR="00DA7927" w:rsidRPr="00B306C6">
        <w:rPr>
          <w:sz w:val="28"/>
          <w:szCs w:val="28"/>
        </w:rPr>
        <w:t xml:space="preserve"> на </w:t>
      </w:r>
      <w:r w:rsidR="00B306C6">
        <w:rPr>
          <w:sz w:val="28"/>
          <w:szCs w:val="28"/>
        </w:rPr>
        <w:t>202</w:t>
      </w:r>
      <w:r w:rsidR="00562184">
        <w:rPr>
          <w:sz w:val="28"/>
          <w:szCs w:val="28"/>
        </w:rPr>
        <w:t>1</w:t>
      </w:r>
      <w:r w:rsidRPr="00B306C6">
        <w:rPr>
          <w:sz w:val="28"/>
          <w:szCs w:val="28"/>
        </w:rPr>
        <w:t xml:space="preserve"> год </w:t>
      </w:r>
      <w:r w:rsidR="00562184">
        <w:rPr>
          <w:sz w:val="28"/>
          <w:szCs w:val="28"/>
        </w:rPr>
        <w:t>81 575,000</w:t>
      </w:r>
      <w:r w:rsidRPr="00B306C6">
        <w:rPr>
          <w:sz w:val="28"/>
          <w:szCs w:val="28"/>
        </w:rPr>
        <w:t xml:space="preserve"> тыс. рублей.</w:t>
      </w:r>
    </w:p>
    <w:p w:rsidR="00CD2B61" w:rsidRPr="00010145" w:rsidRDefault="00CD2B61" w:rsidP="00CD2B61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0145">
        <w:rPr>
          <w:rFonts w:eastAsiaTheme="minorHAnsi"/>
          <w:sz w:val="28"/>
          <w:szCs w:val="28"/>
          <w:lang w:eastAsia="en-US"/>
        </w:rPr>
        <w:t>В соответствии со статьёй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казённые учреждения).</w:t>
      </w:r>
    </w:p>
    <w:p w:rsidR="00CD2B61" w:rsidRPr="00010145" w:rsidRDefault="00CD2B61" w:rsidP="00CD2B61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10145">
        <w:rPr>
          <w:sz w:val="28"/>
          <w:szCs w:val="28"/>
        </w:rPr>
        <w:t>Нормативные затраты на обеспечение функций администрации города Нефтеюганска, в</w:t>
      </w:r>
      <w:r>
        <w:rPr>
          <w:sz w:val="28"/>
          <w:szCs w:val="28"/>
        </w:rPr>
        <w:t xml:space="preserve"> том числе подведомственных казё</w:t>
      </w:r>
      <w:r w:rsidRPr="00010145">
        <w:rPr>
          <w:sz w:val="28"/>
          <w:szCs w:val="28"/>
        </w:rPr>
        <w:t>нных учреждений на 201</w:t>
      </w:r>
      <w:r>
        <w:rPr>
          <w:sz w:val="28"/>
          <w:szCs w:val="28"/>
        </w:rPr>
        <w:t>9</w:t>
      </w:r>
      <w:r w:rsidRPr="00010145">
        <w:rPr>
          <w:sz w:val="28"/>
          <w:szCs w:val="28"/>
        </w:rPr>
        <w:t xml:space="preserve"> год утверждены распоряжением администрации города от </w:t>
      </w:r>
      <w:r>
        <w:rPr>
          <w:sz w:val="28"/>
          <w:szCs w:val="28"/>
        </w:rPr>
        <w:t>08.10.2018</w:t>
      </w:r>
      <w:r w:rsidRPr="00010145">
        <w:rPr>
          <w:sz w:val="28"/>
          <w:szCs w:val="28"/>
        </w:rPr>
        <w:t xml:space="preserve"> № 2</w:t>
      </w:r>
      <w:r>
        <w:rPr>
          <w:sz w:val="28"/>
          <w:szCs w:val="28"/>
        </w:rPr>
        <w:t>83</w:t>
      </w:r>
      <w:r w:rsidRPr="00010145">
        <w:rPr>
          <w:sz w:val="28"/>
          <w:szCs w:val="28"/>
        </w:rPr>
        <w:t>-р (далее по тексту – Нормативные затраты).</w:t>
      </w:r>
    </w:p>
    <w:p w:rsidR="00CD2B61" w:rsidRPr="00010145" w:rsidRDefault="00CD2B61" w:rsidP="00CD2B61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10145">
        <w:rPr>
          <w:sz w:val="28"/>
          <w:szCs w:val="28"/>
        </w:rPr>
        <w:t xml:space="preserve">В соответствии с пунктом 13 </w:t>
      </w:r>
      <w:r w:rsidRPr="008D1149">
        <w:rPr>
          <w:sz w:val="28"/>
          <w:szCs w:val="28"/>
        </w:rPr>
        <w:t>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от 05.07.2016 № 137-нп</w:t>
      </w:r>
      <w:r>
        <w:rPr>
          <w:sz w:val="28"/>
          <w:szCs w:val="28"/>
        </w:rPr>
        <w:t>,</w:t>
      </w:r>
      <w:r w:rsidRPr="00010145">
        <w:rPr>
          <w:sz w:val="28"/>
          <w:szCs w:val="28"/>
        </w:rPr>
        <w:t xml:space="preserve"> нормативные затраты на обеспечение функций органов администрации города (включая подведомственные им казённые </w:t>
      </w:r>
      <w:r w:rsidRPr="00010145">
        <w:rPr>
          <w:sz w:val="28"/>
          <w:szCs w:val="28"/>
        </w:rPr>
        <w:lastRenderedPageBreak/>
        <w:t>учреждения) применяются при обосновании закупок при формировании проекта бюджета на очередной финансовый год и плановый период.</w:t>
      </w:r>
    </w:p>
    <w:p w:rsidR="004141BB" w:rsidRPr="00F90D97" w:rsidRDefault="00CD2B61" w:rsidP="00806CA1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F90D97">
        <w:rPr>
          <w:sz w:val="28"/>
          <w:szCs w:val="28"/>
        </w:rPr>
        <w:t>В целях предотвращения включения необоснованных закупок при формировании бюджета, проведён выборочный анализ показателей в представленных расчётах к проекту изменений расходов на со</w:t>
      </w:r>
      <w:r w:rsidR="00FB37A3" w:rsidRPr="00F90D97">
        <w:rPr>
          <w:sz w:val="28"/>
          <w:szCs w:val="28"/>
        </w:rPr>
        <w:t>ответствие Нормативным затратам.</w:t>
      </w:r>
    </w:p>
    <w:p w:rsidR="008307A4" w:rsidRPr="006B0D88" w:rsidRDefault="004B6A20" w:rsidP="008307A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2.2.</w:t>
      </w:r>
      <w:r w:rsidR="006501FB" w:rsidRPr="006B0D88">
        <w:rPr>
          <w:i/>
          <w:sz w:val="28"/>
          <w:szCs w:val="28"/>
        </w:rPr>
        <w:t xml:space="preserve"> </w:t>
      </w:r>
      <w:r w:rsidR="00447FA2" w:rsidRPr="006B0D88">
        <w:rPr>
          <w:i/>
          <w:sz w:val="28"/>
          <w:szCs w:val="28"/>
        </w:rPr>
        <w:t>«</w:t>
      </w:r>
      <w:r w:rsidR="006501FB" w:rsidRPr="006B0D88">
        <w:rPr>
          <w:i/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="00447FA2" w:rsidRPr="006B0D88">
        <w:rPr>
          <w:i/>
          <w:sz w:val="28"/>
          <w:szCs w:val="28"/>
        </w:rPr>
        <w:t>»</w:t>
      </w:r>
      <w:r w:rsidR="007B39E1" w:rsidRPr="006B0D88">
        <w:rPr>
          <w:i/>
          <w:sz w:val="28"/>
          <w:szCs w:val="28"/>
        </w:rPr>
        <w:t xml:space="preserve"> </w:t>
      </w:r>
      <w:r w:rsidR="00447FA2" w:rsidRPr="006B0D88">
        <w:rPr>
          <w:i/>
          <w:sz w:val="28"/>
          <w:szCs w:val="28"/>
        </w:rPr>
        <w:t>ответственному исполнителю – администрации города Нефтеюганска</w:t>
      </w:r>
      <w:r w:rsidR="008307A4" w:rsidRPr="006B0D88">
        <w:rPr>
          <w:i/>
          <w:sz w:val="28"/>
          <w:szCs w:val="28"/>
        </w:rPr>
        <w:t xml:space="preserve"> за счёт средств местного бюджета на 2019 год 45 429,500 тыс. рублей, на 2020 год 45 429,500 тыс. рублей, на 2021 год 45 429,500</w:t>
      </w:r>
      <w:r w:rsidR="006B0D88" w:rsidRPr="006B0D88">
        <w:rPr>
          <w:i/>
          <w:sz w:val="28"/>
          <w:szCs w:val="28"/>
        </w:rPr>
        <w:t xml:space="preserve"> тыс. рублей.</w:t>
      </w:r>
    </w:p>
    <w:p w:rsidR="00463D0B" w:rsidRPr="00612A1A" w:rsidRDefault="00463D0B" w:rsidP="00463D0B">
      <w:pPr>
        <w:spacing w:line="0" w:lineRule="atLeast"/>
        <w:ind w:firstLine="708"/>
        <w:jc w:val="both"/>
        <w:rPr>
          <w:sz w:val="28"/>
          <w:szCs w:val="28"/>
        </w:rPr>
      </w:pPr>
      <w:r w:rsidRPr="00612A1A">
        <w:rPr>
          <w:sz w:val="28"/>
          <w:szCs w:val="28"/>
        </w:rPr>
        <w:t xml:space="preserve">Бюджетные ассигнования предусмотрены на следующие работы, услуги: </w:t>
      </w:r>
    </w:p>
    <w:p w:rsidR="00463D0B" w:rsidRPr="00463D0B" w:rsidRDefault="00463D0B" w:rsidP="00463D0B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463D0B">
        <w:rPr>
          <w:sz w:val="28"/>
          <w:szCs w:val="28"/>
        </w:rPr>
        <w:t xml:space="preserve"> организацию деятельности предоставления государственных и муниципальных услуг населению через многофункциональный центр (МФЦ), по принципу «единого окна» на 2019 год 44 049,000 тыс. рублей, на 2020 год 44 049,000 тыс. рублей, на 202</w:t>
      </w:r>
      <w:r w:rsidR="006B0D88">
        <w:rPr>
          <w:sz w:val="28"/>
          <w:szCs w:val="28"/>
        </w:rPr>
        <w:t>1</w:t>
      </w:r>
      <w:r w:rsidRPr="00463D0B">
        <w:rPr>
          <w:sz w:val="28"/>
          <w:szCs w:val="28"/>
        </w:rPr>
        <w:t xml:space="preserve"> год 44 049,000</w:t>
      </w:r>
      <w:r w:rsidR="00052D4E">
        <w:rPr>
          <w:sz w:val="28"/>
          <w:szCs w:val="28"/>
        </w:rPr>
        <w:t xml:space="preserve"> тыс. рублей;</w:t>
      </w:r>
    </w:p>
    <w:p w:rsidR="00052D4E" w:rsidRPr="00463D0B" w:rsidRDefault="00052D4E" w:rsidP="00052D4E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периодического контроля на объектах информатизации</w:t>
      </w:r>
      <w:r w:rsidRPr="00052D4E">
        <w:rPr>
          <w:sz w:val="28"/>
          <w:szCs w:val="28"/>
        </w:rPr>
        <w:t xml:space="preserve"> </w:t>
      </w:r>
      <w:r w:rsidRPr="00463D0B">
        <w:rPr>
          <w:sz w:val="28"/>
          <w:szCs w:val="28"/>
        </w:rPr>
        <w:t xml:space="preserve">на 2019 год </w:t>
      </w:r>
      <w:r>
        <w:rPr>
          <w:sz w:val="28"/>
          <w:szCs w:val="28"/>
        </w:rPr>
        <w:t xml:space="preserve">300,000 </w:t>
      </w:r>
      <w:r w:rsidRPr="00463D0B">
        <w:rPr>
          <w:sz w:val="28"/>
          <w:szCs w:val="28"/>
        </w:rPr>
        <w:t xml:space="preserve">тыс. рублей, на 2020 год </w:t>
      </w:r>
      <w:r>
        <w:rPr>
          <w:sz w:val="28"/>
          <w:szCs w:val="28"/>
        </w:rPr>
        <w:t>300,</w:t>
      </w:r>
      <w:r w:rsidRPr="00463D0B">
        <w:rPr>
          <w:sz w:val="28"/>
          <w:szCs w:val="28"/>
        </w:rPr>
        <w:t>000 тыс. рублей, на 202</w:t>
      </w:r>
      <w:r w:rsidR="006B0D88">
        <w:rPr>
          <w:sz w:val="28"/>
          <w:szCs w:val="28"/>
        </w:rPr>
        <w:t>1</w:t>
      </w:r>
      <w:r w:rsidRPr="00463D0B">
        <w:rPr>
          <w:sz w:val="28"/>
          <w:szCs w:val="28"/>
        </w:rPr>
        <w:t xml:space="preserve"> год </w:t>
      </w:r>
      <w:r>
        <w:rPr>
          <w:sz w:val="28"/>
          <w:szCs w:val="28"/>
        </w:rPr>
        <w:t>300</w:t>
      </w:r>
      <w:r w:rsidRPr="00463D0B">
        <w:rPr>
          <w:sz w:val="28"/>
          <w:szCs w:val="28"/>
        </w:rPr>
        <w:t>,000</w:t>
      </w:r>
      <w:r>
        <w:rPr>
          <w:sz w:val="28"/>
          <w:szCs w:val="28"/>
        </w:rPr>
        <w:t xml:space="preserve"> тыс. рублей;</w:t>
      </w:r>
    </w:p>
    <w:p w:rsidR="00463D0B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аттестация объектов информатизации </w:t>
      </w:r>
      <w:r w:rsidRPr="00463D0B">
        <w:rPr>
          <w:sz w:val="28"/>
          <w:szCs w:val="28"/>
        </w:rPr>
        <w:t xml:space="preserve">на 2019 год </w:t>
      </w:r>
      <w:r>
        <w:rPr>
          <w:sz w:val="28"/>
          <w:szCs w:val="28"/>
        </w:rPr>
        <w:t xml:space="preserve">300,000 </w:t>
      </w:r>
      <w:r w:rsidRPr="00463D0B">
        <w:rPr>
          <w:sz w:val="28"/>
          <w:szCs w:val="28"/>
        </w:rPr>
        <w:t xml:space="preserve">тыс. рублей, на 2020 год </w:t>
      </w:r>
      <w:r>
        <w:rPr>
          <w:sz w:val="28"/>
          <w:szCs w:val="28"/>
        </w:rPr>
        <w:t>300,</w:t>
      </w:r>
      <w:r w:rsidRPr="00463D0B">
        <w:rPr>
          <w:sz w:val="28"/>
          <w:szCs w:val="28"/>
        </w:rPr>
        <w:t>000 тыс. рублей, на 202</w:t>
      </w:r>
      <w:r w:rsidR="006B0D88">
        <w:rPr>
          <w:sz w:val="28"/>
          <w:szCs w:val="28"/>
        </w:rPr>
        <w:t>1</w:t>
      </w:r>
      <w:r w:rsidRPr="00463D0B">
        <w:rPr>
          <w:sz w:val="28"/>
          <w:szCs w:val="28"/>
        </w:rPr>
        <w:t xml:space="preserve"> год </w:t>
      </w:r>
      <w:r>
        <w:rPr>
          <w:sz w:val="28"/>
          <w:szCs w:val="28"/>
        </w:rPr>
        <w:t>300</w:t>
      </w:r>
      <w:r w:rsidRPr="00463D0B">
        <w:rPr>
          <w:sz w:val="28"/>
          <w:szCs w:val="28"/>
        </w:rPr>
        <w:t>,000</w:t>
      </w:r>
      <w:r>
        <w:rPr>
          <w:sz w:val="28"/>
          <w:szCs w:val="28"/>
        </w:rPr>
        <w:t xml:space="preserve"> тыс. рублей;</w:t>
      </w:r>
    </w:p>
    <w:p w:rsidR="002C1264" w:rsidRDefault="002C1264" w:rsidP="006B0D88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D0B">
        <w:rPr>
          <w:sz w:val="28"/>
          <w:szCs w:val="28"/>
        </w:rPr>
        <w:t xml:space="preserve">-оплату членских взносов Ассоциации «Совет муниципальных образований ХМАО-Югры» </w:t>
      </w:r>
      <w:r w:rsidRPr="00463D0B">
        <w:rPr>
          <w:sz w:val="28"/>
          <w:szCs w:val="28"/>
        </w:rPr>
        <w:t xml:space="preserve">на 2019 год </w:t>
      </w:r>
      <w:r>
        <w:rPr>
          <w:sz w:val="28"/>
          <w:szCs w:val="28"/>
        </w:rPr>
        <w:t xml:space="preserve">290,000 </w:t>
      </w:r>
      <w:r w:rsidRPr="00463D0B">
        <w:rPr>
          <w:sz w:val="28"/>
          <w:szCs w:val="28"/>
        </w:rPr>
        <w:t xml:space="preserve">тыс. рублей, на 2020 год </w:t>
      </w:r>
      <w:r>
        <w:rPr>
          <w:sz w:val="28"/>
          <w:szCs w:val="28"/>
        </w:rPr>
        <w:t>290,</w:t>
      </w:r>
      <w:r w:rsidRPr="00463D0B">
        <w:rPr>
          <w:sz w:val="28"/>
          <w:szCs w:val="28"/>
        </w:rPr>
        <w:t>000 тыс. рублей, на 202</w:t>
      </w:r>
      <w:r w:rsidR="006B0D88">
        <w:rPr>
          <w:sz w:val="28"/>
          <w:szCs w:val="28"/>
        </w:rPr>
        <w:t>1</w:t>
      </w:r>
      <w:r w:rsidRPr="00463D0B">
        <w:rPr>
          <w:sz w:val="28"/>
          <w:szCs w:val="28"/>
        </w:rPr>
        <w:t xml:space="preserve"> год </w:t>
      </w:r>
      <w:r>
        <w:rPr>
          <w:sz w:val="28"/>
          <w:szCs w:val="28"/>
        </w:rPr>
        <w:t>290</w:t>
      </w:r>
      <w:r w:rsidRPr="00463D0B">
        <w:rPr>
          <w:sz w:val="28"/>
          <w:szCs w:val="28"/>
        </w:rPr>
        <w:t>,000</w:t>
      </w:r>
      <w:r>
        <w:rPr>
          <w:sz w:val="28"/>
          <w:szCs w:val="28"/>
        </w:rPr>
        <w:t xml:space="preserve"> тыс. рублей;</w:t>
      </w:r>
    </w:p>
    <w:p w:rsidR="002C1264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3D0B">
        <w:rPr>
          <w:sz w:val="28"/>
          <w:szCs w:val="28"/>
        </w:rPr>
        <w:t xml:space="preserve">-приобретение оборудования </w:t>
      </w:r>
      <w:r w:rsidRPr="00463D0B">
        <w:rPr>
          <w:sz w:val="28"/>
          <w:szCs w:val="28"/>
        </w:rPr>
        <w:t xml:space="preserve">на 2019 год </w:t>
      </w:r>
      <w:r>
        <w:rPr>
          <w:sz w:val="28"/>
          <w:szCs w:val="28"/>
        </w:rPr>
        <w:t xml:space="preserve">340,500 </w:t>
      </w:r>
      <w:r w:rsidRPr="00463D0B">
        <w:rPr>
          <w:sz w:val="28"/>
          <w:szCs w:val="28"/>
        </w:rPr>
        <w:t xml:space="preserve">тыс. рублей, на 2020 год </w:t>
      </w:r>
      <w:r>
        <w:rPr>
          <w:sz w:val="28"/>
          <w:szCs w:val="28"/>
        </w:rPr>
        <w:t>340,5</w:t>
      </w:r>
      <w:r w:rsidRPr="00463D0B">
        <w:rPr>
          <w:sz w:val="28"/>
          <w:szCs w:val="28"/>
        </w:rPr>
        <w:t>00 тыс. рублей, на 202</w:t>
      </w:r>
      <w:r w:rsidR="006B0D88">
        <w:rPr>
          <w:sz w:val="28"/>
          <w:szCs w:val="28"/>
        </w:rPr>
        <w:t>1</w:t>
      </w:r>
      <w:r w:rsidRPr="00463D0B">
        <w:rPr>
          <w:sz w:val="28"/>
          <w:szCs w:val="28"/>
        </w:rPr>
        <w:t xml:space="preserve"> год </w:t>
      </w:r>
      <w:r>
        <w:rPr>
          <w:sz w:val="28"/>
          <w:szCs w:val="28"/>
        </w:rPr>
        <w:t>340</w:t>
      </w:r>
      <w:r w:rsidRPr="00463D0B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463D0B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рублей;</w:t>
      </w:r>
    </w:p>
    <w:p w:rsidR="00612A1A" w:rsidRPr="002C1264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приобретение программного обеспечения </w:t>
      </w:r>
      <w:r w:rsidRPr="00463D0B">
        <w:rPr>
          <w:sz w:val="28"/>
          <w:szCs w:val="28"/>
        </w:rPr>
        <w:t xml:space="preserve">на 2019 год </w:t>
      </w:r>
      <w:r>
        <w:rPr>
          <w:sz w:val="28"/>
          <w:szCs w:val="28"/>
        </w:rPr>
        <w:t xml:space="preserve">150,000 </w:t>
      </w:r>
      <w:r w:rsidRPr="00463D0B">
        <w:rPr>
          <w:sz w:val="28"/>
          <w:szCs w:val="28"/>
        </w:rPr>
        <w:t xml:space="preserve">тыс. рублей, на 2020 год </w:t>
      </w:r>
      <w:r>
        <w:rPr>
          <w:sz w:val="28"/>
          <w:szCs w:val="28"/>
        </w:rPr>
        <w:t>150,0</w:t>
      </w:r>
      <w:r w:rsidRPr="00463D0B">
        <w:rPr>
          <w:sz w:val="28"/>
          <w:szCs w:val="28"/>
        </w:rPr>
        <w:t>00 тыс. рублей, на 202</w:t>
      </w:r>
      <w:r w:rsidR="006B0D88">
        <w:rPr>
          <w:sz w:val="28"/>
          <w:szCs w:val="28"/>
        </w:rPr>
        <w:t>1</w:t>
      </w:r>
      <w:r w:rsidRPr="00463D0B">
        <w:rPr>
          <w:sz w:val="28"/>
          <w:szCs w:val="28"/>
        </w:rPr>
        <w:t xml:space="preserve"> год </w:t>
      </w:r>
      <w:r>
        <w:rPr>
          <w:sz w:val="28"/>
          <w:szCs w:val="28"/>
        </w:rPr>
        <w:t>150</w:t>
      </w:r>
      <w:r w:rsidRPr="00463D0B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463D0B">
        <w:rPr>
          <w:sz w:val="28"/>
          <w:szCs w:val="28"/>
        </w:rPr>
        <w:t>00</w:t>
      </w:r>
      <w:r>
        <w:rPr>
          <w:sz w:val="28"/>
          <w:szCs w:val="28"/>
        </w:rPr>
        <w:t xml:space="preserve"> тыс. рублей.</w:t>
      </w:r>
    </w:p>
    <w:p w:rsidR="00493BDB" w:rsidRPr="006B0D88" w:rsidRDefault="004B6A20" w:rsidP="009B24BF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2.3</w:t>
      </w:r>
      <w:r w:rsidR="00983053" w:rsidRPr="006B0D88">
        <w:rPr>
          <w:i/>
          <w:sz w:val="28"/>
          <w:szCs w:val="28"/>
        </w:rPr>
        <w:t>.</w:t>
      </w:r>
      <w:r w:rsidR="00AA5D6E" w:rsidRPr="006B0D88">
        <w:rPr>
          <w:i/>
          <w:sz w:val="28"/>
          <w:szCs w:val="28"/>
        </w:rPr>
        <w:t xml:space="preserve"> </w:t>
      </w:r>
      <w:r w:rsidR="00983053" w:rsidRPr="006B0D88">
        <w:rPr>
          <w:i/>
          <w:sz w:val="28"/>
          <w:szCs w:val="28"/>
        </w:rPr>
        <w:t>«Реализация переданных государственных полномочий на осуществление деятельности по содержанию штатных единиц органов</w:t>
      </w:r>
      <w:r w:rsidR="00493BDB" w:rsidRPr="006B0D88">
        <w:rPr>
          <w:i/>
          <w:sz w:val="28"/>
          <w:szCs w:val="28"/>
        </w:rPr>
        <w:t xml:space="preserve"> местного самоуправления»:</w:t>
      </w:r>
    </w:p>
    <w:p w:rsidR="004C3362" w:rsidRPr="00FF3717" w:rsidRDefault="00434EBF" w:rsidP="009B24B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FF3717">
        <w:rPr>
          <w:sz w:val="28"/>
          <w:szCs w:val="28"/>
        </w:rPr>
        <w:t xml:space="preserve"> за счё</w:t>
      </w:r>
      <w:r w:rsidR="00983053" w:rsidRPr="00FF3717">
        <w:rPr>
          <w:sz w:val="28"/>
          <w:szCs w:val="28"/>
        </w:rPr>
        <w:t>т средс</w:t>
      </w:r>
      <w:r w:rsidRPr="00FF3717">
        <w:rPr>
          <w:sz w:val="28"/>
          <w:szCs w:val="28"/>
        </w:rPr>
        <w:t xml:space="preserve">тв бюджета округа </w:t>
      </w:r>
      <w:r w:rsidR="00493BDB" w:rsidRPr="00FF3717">
        <w:rPr>
          <w:sz w:val="28"/>
          <w:szCs w:val="28"/>
        </w:rPr>
        <w:t>на 2019 год 21 353,900</w:t>
      </w:r>
      <w:r w:rsidR="004C3362" w:rsidRPr="00FF3717">
        <w:rPr>
          <w:sz w:val="28"/>
          <w:szCs w:val="28"/>
        </w:rPr>
        <w:t xml:space="preserve"> тыс. рублей, на 2020 год </w:t>
      </w:r>
      <w:r w:rsidR="00493BDB" w:rsidRPr="00FF3717">
        <w:rPr>
          <w:sz w:val="28"/>
          <w:szCs w:val="28"/>
        </w:rPr>
        <w:t>21 374,300</w:t>
      </w:r>
      <w:r w:rsidR="004C3362" w:rsidRPr="00FF3717">
        <w:rPr>
          <w:sz w:val="28"/>
          <w:szCs w:val="28"/>
        </w:rPr>
        <w:t xml:space="preserve"> тыс. рублей, на 2021 год </w:t>
      </w:r>
      <w:r w:rsidR="00493BDB" w:rsidRPr="00FF3717">
        <w:rPr>
          <w:sz w:val="28"/>
          <w:szCs w:val="28"/>
        </w:rPr>
        <w:t>21 399,600</w:t>
      </w:r>
      <w:r w:rsidR="006B0D88">
        <w:rPr>
          <w:sz w:val="28"/>
          <w:szCs w:val="28"/>
        </w:rPr>
        <w:t xml:space="preserve"> тыс. рублей</w:t>
      </w:r>
      <w:r w:rsidR="00493BDB" w:rsidRPr="00FF3717">
        <w:rPr>
          <w:sz w:val="28"/>
          <w:szCs w:val="28"/>
        </w:rPr>
        <w:t>;</w:t>
      </w:r>
    </w:p>
    <w:p w:rsidR="00FF3717" w:rsidRPr="00FF3717" w:rsidRDefault="00FF3717" w:rsidP="00FF371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FF3717">
        <w:rPr>
          <w:sz w:val="28"/>
          <w:szCs w:val="28"/>
        </w:rPr>
        <w:t>за счёт федерального бюджета на 2019 год 8 706,800 тыс. рублей, на 2020 год 7 990,000 тыс. рублей, на</w:t>
      </w:r>
      <w:r w:rsidR="006B0D88">
        <w:rPr>
          <w:sz w:val="28"/>
          <w:szCs w:val="28"/>
        </w:rPr>
        <w:t xml:space="preserve"> 2021 год 7 973,700 тыс. рублей</w:t>
      </w:r>
      <w:r w:rsidRPr="00FF3717">
        <w:rPr>
          <w:sz w:val="28"/>
          <w:szCs w:val="28"/>
        </w:rPr>
        <w:t>.</w:t>
      </w:r>
    </w:p>
    <w:p w:rsidR="00DE5B66" w:rsidRPr="006B0D88" w:rsidRDefault="00420304" w:rsidP="00DE5B66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sz w:val="28"/>
          <w:szCs w:val="28"/>
        </w:rPr>
        <w:t>2.4. 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="00DE5B66" w:rsidRPr="006B0D88">
        <w:rPr>
          <w:i/>
          <w:sz w:val="28"/>
          <w:szCs w:val="28"/>
        </w:rPr>
        <w:t xml:space="preserve"> ответственному исполнителю – администрации города Нефтеюганска за счёт средств федерального бюджета на 2019 год 15,400 тыс. рублей, на 2020 год 17,100 тыс. рублей, на 2021 год 16,90</w:t>
      </w:r>
      <w:r w:rsidR="006B0D88" w:rsidRPr="006B0D88">
        <w:rPr>
          <w:i/>
          <w:sz w:val="28"/>
          <w:szCs w:val="28"/>
        </w:rPr>
        <w:t xml:space="preserve"> тыс. рублей.</w:t>
      </w:r>
    </w:p>
    <w:p w:rsidR="00493BDB" w:rsidRPr="006B0D88" w:rsidRDefault="003C7A3A" w:rsidP="00D445C1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sz w:val="28"/>
          <w:szCs w:val="28"/>
        </w:rPr>
        <w:t>2.5. «Государственная поддержка развития растениеводства и животноводства, переработки и реализации продукции»</w:t>
      </w:r>
      <w:r w:rsidRPr="006B0D88">
        <w:rPr>
          <w:i/>
          <w:sz w:val="28"/>
          <w:szCs w:val="28"/>
        </w:rPr>
        <w:t xml:space="preserve"> ответственному </w:t>
      </w:r>
      <w:r w:rsidRPr="006B0D88">
        <w:rPr>
          <w:i/>
          <w:sz w:val="28"/>
          <w:szCs w:val="28"/>
        </w:rPr>
        <w:lastRenderedPageBreak/>
        <w:t>исполнителю – администрации города Нефтеюганска за счёт бюджета автономного округа на 2019 год 28 290,000 тыс. рублей, на 2020 год 28 290,000 тыс. рублей, на 2021 год 28 290,000 тыс. рублей</w:t>
      </w:r>
      <w:r w:rsidR="006B0D88" w:rsidRPr="006B0D88">
        <w:rPr>
          <w:i/>
          <w:sz w:val="28"/>
          <w:szCs w:val="28"/>
        </w:rPr>
        <w:t>.</w:t>
      </w:r>
    </w:p>
    <w:p w:rsidR="00333764" w:rsidRPr="006B0D88" w:rsidRDefault="009244EB" w:rsidP="0033376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2.</w:t>
      </w:r>
      <w:r w:rsidR="00713180" w:rsidRPr="006B0D88">
        <w:rPr>
          <w:i/>
          <w:sz w:val="28"/>
          <w:szCs w:val="28"/>
        </w:rPr>
        <w:t>6</w:t>
      </w:r>
      <w:r w:rsidRPr="006B0D88">
        <w:rPr>
          <w:i/>
          <w:sz w:val="28"/>
          <w:szCs w:val="28"/>
        </w:rPr>
        <w:t>.</w:t>
      </w:r>
      <w:r w:rsidR="00932CA3" w:rsidRPr="006B0D88">
        <w:rPr>
          <w:i/>
          <w:sz w:val="28"/>
          <w:szCs w:val="28"/>
        </w:rPr>
        <w:t xml:space="preserve"> «Информационная и финансовая поддержка Субъектов и Организаций, организация мероприятий»</w:t>
      </w:r>
      <w:r w:rsidR="006725B9" w:rsidRPr="006B0D88">
        <w:rPr>
          <w:i/>
          <w:sz w:val="28"/>
          <w:szCs w:val="28"/>
        </w:rPr>
        <w:t xml:space="preserve"> </w:t>
      </w:r>
      <w:r w:rsidR="00333764" w:rsidRPr="006B0D88">
        <w:rPr>
          <w:i/>
          <w:sz w:val="28"/>
          <w:szCs w:val="28"/>
        </w:rPr>
        <w:t>за счёт средств:</w:t>
      </w:r>
    </w:p>
    <w:p w:rsidR="00333764" w:rsidRPr="006B0D88" w:rsidRDefault="009244EB" w:rsidP="0033376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 xml:space="preserve">местного бюджета </w:t>
      </w:r>
      <w:r w:rsidR="00932CA3" w:rsidRPr="006B0D88">
        <w:rPr>
          <w:i/>
          <w:sz w:val="28"/>
          <w:szCs w:val="28"/>
        </w:rPr>
        <w:t xml:space="preserve">на </w:t>
      </w:r>
      <w:r w:rsidR="00333764" w:rsidRPr="006B0D88">
        <w:rPr>
          <w:i/>
          <w:sz w:val="28"/>
          <w:szCs w:val="28"/>
        </w:rPr>
        <w:t>2019 год 2 330,300 тыс. рублей, на 2020 год 2 330,300 тыс. рублей, на 2021 год 2 330,</w:t>
      </w:r>
      <w:r w:rsidR="00AA10B9" w:rsidRPr="006B0D88">
        <w:rPr>
          <w:i/>
          <w:sz w:val="28"/>
          <w:szCs w:val="28"/>
        </w:rPr>
        <w:t>300 тыс.</w:t>
      </w:r>
      <w:r w:rsidR="006B0D88" w:rsidRPr="006B0D88">
        <w:rPr>
          <w:i/>
          <w:sz w:val="28"/>
          <w:szCs w:val="28"/>
        </w:rPr>
        <w:t xml:space="preserve"> рублей;</w:t>
      </w:r>
    </w:p>
    <w:p w:rsidR="00333764" w:rsidRPr="006B0D88" w:rsidRDefault="00333764" w:rsidP="00343A7A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 xml:space="preserve">бюджета автономного округа на 2019 год </w:t>
      </w:r>
      <w:r w:rsidR="00343A7A" w:rsidRPr="006B0D88">
        <w:rPr>
          <w:i/>
          <w:sz w:val="28"/>
          <w:szCs w:val="28"/>
        </w:rPr>
        <w:t>4 661,600</w:t>
      </w:r>
      <w:r w:rsidRPr="006B0D88">
        <w:rPr>
          <w:i/>
          <w:sz w:val="28"/>
          <w:szCs w:val="28"/>
        </w:rPr>
        <w:t xml:space="preserve"> тыс. рублей, на 2020 год </w:t>
      </w:r>
      <w:r w:rsidR="00343A7A" w:rsidRPr="006B0D88">
        <w:rPr>
          <w:i/>
          <w:sz w:val="28"/>
          <w:szCs w:val="28"/>
        </w:rPr>
        <w:t>4 284,800</w:t>
      </w:r>
      <w:r w:rsidRPr="006B0D88">
        <w:rPr>
          <w:i/>
          <w:sz w:val="28"/>
          <w:szCs w:val="28"/>
        </w:rPr>
        <w:t xml:space="preserve"> тыс. рублей, на 2021 год </w:t>
      </w:r>
      <w:r w:rsidR="00343A7A" w:rsidRPr="006B0D88">
        <w:rPr>
          <w:i/>
          <w:sz w:val="28"/>
          <w:szCs w:val="28"/>
        </w:rPr>
        <w:t>4 284,</w:t>
      </w:r>
      <w:r w:rsidR="00AA10B9" w:rsidRPr="006B0D88">
        <w:rPr>
          <w:i/>
          <w:sz w:val="28"/>
          <w:szCs w:val="28"/>
        </w:rPr>
        <w:t>800 тыс.</w:t>
      </w:r>
      <w:r w:rsidRPr="006B0D88">
        <w:rPr>
          <w:i/>
          <w:sz w:val="28"/>
          <w:szCs w:val="28"/>
        </w:rPr>
        <w:t xml:space="preserve"> рублей</w:t>
      </w:r>
      <w:r w:rsidR="00C41EC2" w:rsidRPr="006B0D88">
        <w:rPr>
          <w:i/>
          <w:sz w:val="28"/>
          <w:szCs w:val="28"/>
        </w:rPr>
        <w:t>.</w:t>
      </w:r>
    </w:p>
    <w:p w:rsidR="009244EB" w:rsidRPr="00F70DEC" w:rsidRDefault="009244EB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F70DEC">
        <w:rPr>
          <w:sz w:val="28"/>
          <w:szCs w:val="28"/>
        </w:rPr>
        <w:t>Реализация мероприятия осуществляется ответственным исполнителем – администрацией города Нефтеюганска:</w:t>
      </w:r>
    </w:p>
    <w:p w:rsidR="00051744" w:rsidRDefault="00932CA3" w:rsidP="00051744">
      <w:pPr>
        <w:spacing w:line="0" w:lineRule="atLeast"/>
        <w:ind w:firstLine="708"/>
        <w:jc w:val="both"/>
        <w:rPr>
          <w:sz w:val="28"/>
          <w:szCs w:val="28"/>
        </w:rPr>
      </w:pPr>
      <w:r w:rsidRPr="00F70DEC">
        <w:rPr>
          <w:sz w:val="28"/>
          <w:szCs w:val="28"/>
        </w:rPr>
        <w:t>-организация мониторинга деятельности малого и среднего предпринимательс</w:t>
      </w:r>
      <w:r w:rsidR="001F0CC8" w:rsidRPr="00F70DEC">
        <w:rPr>
          <w:sz w:val="28"/>
          <w:szCs w:val="28"/>
        </w:rPr>
        <w:t>тва</w:t>
      </w:r>
      <w:r w:rsidR="00051744">
        <w:rPr>
          <w:sz w:val="28"/>
          <w:szCs w:val="28"/>
        </w:rPr>
        <w:t>;</w:t>
      </w:r>
      <w:r w:rsidR="001F0CC8" w:rsidRPr="00F70DEC">
        <w:rPr>
          <w:sz w:val="28"/>
          <w:szCs w:val="28"/>
        </w:rPr>
        <w:t xml:space="preserve"> </w:t>
      </w:r>
    </w:p>
    <w:p w:rsidR="00BC65B5" w:rsidRDefault="00DA162C" w:rsidP="0005174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1744">
        <w:rPr>
          <w:sz w:val="28"/>
          <w:szCs w:val="28"/>
        </w:rPr>
        <w:t xml:space="preserve"> организация </w:t>
      </w:r>
      <w:r w:rsidR="00BC65B5">
        <w:rPr>
          <w:sz w:val="28"/>
          <w:szCs w:val="28"/>
        </w:rPr>
        <w:t>мероприятий по информационно-консультационной поддержке, популяризации и пропаганде предпринимательской деятельности;</w:t>
      </w:r>
    </w:p>
    <w:p w:rsidR="00BC65B5" w:rsidRDefault="00BC65B5" w:rsidP="0005174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поддержка субъектов малого и среднего предпринимательства, осуществляющих социально значимые виды деятельности в муниципальных образованиях;</w:t>
      </w:r>
    </w:p>
    <w:p w:rsidR="00BC65B5" w:rsidRDefault="00BC65B5" w:rsidP="00051744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поддержка социального предпринимательства;</w:t>
      </w:r>
    </w:p>
    <w:p w:rsidR="00BC65B5" w:rsidRDefault="00BC65B5" w:rsidP="0071318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инновационного и молодёжного предпринимательства</w:t>
      </w:r>
      <w:r w:rsidR="001939CE">
        <w:rPr>
          <w:sz w:val="28"/>
          <w:szCs w:val="28"/>
        </w:rPr>
        <w:t>.</w:t>
      </w:r>
    </w:p>
    <w:p w:rsidR="00896911" w:rsidRPr="007426F7" w:rsidRDefault="00B97153" w:rsidP="00896911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7426F7">
        <w:rPr>
          <w:i/>
          <w:sz w:val="28"/>
          <w:szCs w:val="28"/>
        </w:rPr>
        <w:t>2</w:t>
      </w:r>
      <w:r w:rsidR="00896911" w:rsidRPr="007426F7">
        <w:rPr>
          <w:i/>
          <w:sz w:val="28"/>
          <w:szCs w:val="28"/>
        </w:rPr>
        <w:t>.</w:t>
      </w:r>
      <w:r w:rsidR="00713180" w:rsidRPr="007426F7">
        <w:rPr>
          <w:i/>
          <w:sz w:val="28"/>
          <w:szCs w:val="28"/>
        </w:rPr>
        <w:t>7</w:t>
      </w:r>
      <w:r w:rsidR="00D7221D" w:rsidRPr="007426F7">
        <w:rPr>
          <w:i/>
          <w:sz w:val="28"/>
          <w:szCs w:val="28"/>
        </w:rPr>
        <w:t>.</w:t>
      </w:r>
      <w:r w:rsidRPr="007426F7">
        <w:rPr>
          <w:i/>
          <w:sz w:val="28"/>
          <w:szCs w:val="28"/>
        </w:rPr>
        <w:t xml:space="preserve"> </w:t>
      </w:r>
      <w:r w:rsidR="00932CA3" w:rsidRPr="007426F7">
        <w:rPr>
          <w:i/>
          <w:sz w:val="28"/>
          <w:szCs w:val="28"/>
        </w:rPr>
        <w:t>«</w:t>
      </w:r>
      <w:r w:rsidR="009B2DB2" w:rsidRPr="007426F7">
        <w:rPr>
          <w:i/>
          <w:sz w:val="28"/>
          <w:szCs w:val="28"/>
        </w:rPr>
        <w:t>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</w:t>
      </w:r>
      <w:r w:rsidR="00932CA3" w:rsidRPr="007426F7">
        <w:rPr>
          <w:i/>
          <w:sz w:val="28"/>
          <w:szCs w:val="28"/>
        </w:rPr>
        <w:t>»</w:t>
      </w:r>
      <w:r w:rsidR="00896911" w:rsidRPr="007426F7">
        <w:rPr>
          <w:i/>
          <w:sz w:val="28"/>
          <w:szCs w:val="28"/>
        </w:rPr>
        <w:t>:</w:t>
      </w:r>
    </w:p>
    <w:p w:rsidR="00896911" w:rsidRPr="007426F7" w:rsidRDefault="00896911" w:rsidP="00635F99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7426F7">
        <w:rPr>
          <w:i/>
          <w:sz w:val="28"/>
          <w:szCs w:val="28"/>
        </w:rPr>
        <w:t xml:space="preserve">ответственному исполнителю муниципальной программы – </w:t>
      </w:r>
      <w:r w:rsidR="00552E46" w:rsidRPr="007426F7">
        <w:rPr>
          <w:i/>
          <w:sz w:val="28"/>
          <w:szCs w:val="28"/>
        </w:rPr>
        <w:t>администрации города Нефтеюганска</w:t>
      </w:r>
      <w:r w:rsidRPr="007426F7">
        <w:rPr>
          <w:i/>
          <w:sz w:val="28"/>
          <w:szCs w:val="28"/>
        </w:rPr>
        <w:t xml:space="preserve"> за счёт средств местного бюджета на 2019 год </w:t>
      </w:r>
      <w:r w:rsidR="00552E46" w:rsidRPr="007426F7">
        <w:rPr>
          <w:i/>
          <w:sz w:val="28"/>
          <w:szCs w:val="28"/>
        </w:rPr>
        <w:t>23 100,900</w:t>
      </w:r>
      <w:r w:rsidRPr="007426F7">
        <w:rPr>
          <w:i/>
          <w:sz w:val="28"/>
          <w:szCs w:val="28"/>
        </w:rPr>
        <w:t xml:space="preserve"> </w:t>
      </w:r>
      <w:r w:rsidR="00552E46" w:rsidRPr="007426F7">
        <w:rPr>
          <w:i/>
          <w:sz w:val="28"/>
          <w:szCs w:val="28"/>
        </w:rPr>
        <w:t xml:space="preserve">тыс. рублей, на 2020 год 22 995,700 </w:t>
      </w:r>
      <w:r w:rsidRPr="007426F7">
        <w:rPr>
          <w:i/>
          <w:sz w:val="28"/>
          <w:szCs w:val="28"/>
        </w:rPr>
        <w:t xml:space="preserve">тыс. рублей, на 2021 год </w:t>
      </w:r>
      <w:r w:rsidR="00552E46" w:rsidRPr="007426F7">
        <w:rPr>
          <w:i/>
          <w:sz w:val="28"/>
          <w:szCs w:val="28"/>
        </w:rPr>
        <w:t xml:space="preserve">23 100,900 </w:t>
      </w:r>
      <w:r w:rsidRPr="007426F7">
        <w:rPr>
          <w:i/>
          <w:sz w:val="28"/>
          <w:szCs w:val="28"/>
        </w:rPr>
        <w:t>тыс. рублей</w:t>
      </w:r>
      <w:r w:rsidR="008D03E7" w:rsidRPr="007426F7">
        <w:rPr>
          <w:i/>
          <w:sz w:val="28"/>
          <w:szCs w:val="28"/>
        </w:rPr>
        <w:t>;</w:t>
      </w:r>
    </w:p>
    <w:p w:rsidR="008D03E7" w:rsidRPr="007426F7" w:rsidRDefault="008D03E7" w:rsidP="008D03E7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7426F7">
        <w:rPr>
          <w:i/>
          <w:sz w:val="28"/>
          <w:szCs w:val="28"/>
        </w:rPr>
        <w:t>соисполнителю муниципальной программы – Департаменту муниципального имущества за счёт средств местного бюджета на 2019 год 22 722,300 тыс. рублей, на 2020 год 22 254,100 тыс. рублей, на 2021 год 22 605,</w:t>
      </w:r>
      <w:r w:rsidR="00AA10B9" w:rsidRPr="007426F7">
        <w:rPr>
          <w:i/>
          <w:sz w:val="28"/>
          <w:szCs w:val="28"/>
        </w:rPr>
        <w:t>300 тыс.</w:t>
      </w:r>
      <w:r w:rsidRPr="007426F7">
        <w:rPr>
          <w:i/>
          <w:sz w:val="28"/>
          <w:szCs w:val="28"/>
        </w:rPr>
        <w:t xml:space="preserve"> </w:t>
      </w:r>
      <w:r w:rsidR="007426F7" w:rsidRPr="007426F7">
        <w:rPr>
          <w:i/>
          <w:sz w:val="28"/>
          <w:szCs w:val="28"/>
        </w:rPr>
        <w:t>рублей</w:t>
      </w:r>
      <w:r w:rsidRPr="007426F7">
        <w:rPr>
          <w:i/>
          <w:sz w:val="28"/>
          <w:szCs w:val="28"/>
        </w:rPr>
        <w:t>.</w:t>
      </w:r>
    </w:p>
    <w:p w:rsidR="00D00EAE" w:rsidRPr="00F145AB" w:rsidRDefault="008262A6" w:rsidP="008262A6">
      <w:pPr>
        <w:spacing w:line="0" w:lineRule="atLeast"/>
        <w:ind w:firstLine="708"/>
        <w:jc w:val="both"/>
        <w:rPr>
          <w:sz w:val="28"/>
          <w:szCs w:val="28"/>
        </w:rPr>
      </w:pPr>
      <w:r w:rsidRPr="00F145AB">
        <w:rPr>
          <w:sz w:val="28"/>
          <w:szCs w:val="28"/>
        </w:rPr>
        <w:t>2.</w:t>
      </w:r>
      <w:r w:rsidR="00FF37A1">
        <w:rPr>
          <w:sz w:val="28"/>
          <w:szCs w:val="28"/>
        </w:rPr>
        <w:t>7</w:t>
      </w:r>
      <w:r w:rsidRPr="00F145AB">
        <w:rPr>
          <w:sz w:val="28"/>
          <w:szCs w:val="28"/>
        </w:rPr>
        <w:t>.1 Администрации города Нефтеюганска на 201</w:t>
      </w:r>
      <w:r w:rsidR="002936F5">
        <w:rPr>
          <w:sz w:val="28"/>
          <w:szCs w:val="28"/>
        </w:rPr>
        <w:t>9</w:t>
      </w:r>
      <w:r w:rsidRPr="00F145AB">
        <w:rPr>
          <w:sz w:val="28"/>
          <w:szCs w:val="28"/>
        </w:rPr>
        <w:t xml:space="preserve"> год </w:t>
      </w:r>
      <w:r w:rsidR="002936F5">
        <w:rPr>
          <w:sz w:val="28"/>
          <w:szCs w:val="28"/>
        </w:rPr>
        <w:t>23 100,9</w:t>
      </w:r>
      <w:r w:rsidRPr="00F145AB">
        <w:rPr>
          <w:sz w:val="28"/>
          <w:szCs w:val="28"/>
        </w:rPr>
        <w:t>00 тыс. рублей, на 20</w:t>
      </w:r>
      <w:r w:rsidR="002936F5">
        <w:rPr>
          <w:sz w:val="28"/>
          <w:szCs w:val="28"/>
        </w:rPr>
        <w:t>20</w:t>
      </w:r>
      <w:r w:rsidRPr="00F145AB">
        <w:rPr>
          <w:sz w:val="28"/>
          <w:szCs w:val="28"/>
        </w:rPr>
        <w:t xml:space="preserve"> год </w:t>
      </w:r>
      <w:r w:rsidR="007F6017">
        <w:rPr>
          <w:sz w:val="28"/>
          <w:szCs w:val="28"/>
        </w:rPr>
        <w:t>22 995,700</w:t>
      </w:r>
      <w:r w:rsidRPr="00F145AB">
        <w:rPr>
          <w:sz w:val="28"/>
          <w:szCs w:val="28"/>
        </w:rPr>
        <w:t xml:space="preserve"> тыс. рублей, на 202</w:t>
      </w:r>
      <w:r w:rsidR="001D7A7F">
        <w:rPr>
          <w:sz w:val="28"/>
          <w:szCs w:val="28"/>
        </w:rPr>
        <w:t>1</w:t>
      </w:r>
      <w:r w:rsidRPr="00F145AB">
        <w:rPr>
          <w:sz w:val="28"/>
          <w:szCs w:val="28"/>
        </w:rPr>
        <w:t xml:space="preserve"> год </w:t>
      </w:r>
      <w:r w:rsidR="0067375F">
        <w:rPr>
          <w:sz w:val="28"/>
          <w:szCs w:val="28"/>
        </w:rPr>
        <w:t>23 100,9</w:t>
      </w:r>
      <w:r w:rsidRPr="00F145AB">
        <w:rPr>
          <w:sz w:val="28"/>
          <w:szCs w:val="28"/>
        </w:rPr>
        <w:t>00 тыс. рублей</w:t>
      </w:r>
      <w:r w:rsidR="00D00EAE" w:rsidRPr="00F145AB">
        <w:rPr>
          <w:sz w:val="28"/>
          <w:szCs w:val="28"/>
        </w:rPr>
        <w:t xml:space="preserve"> на:</w:t>
      </w:r>
    </w:p>
    <w:p w:rsidR="005E1DD2" w:rsidRPr="00F145AB" w:rsidRDefault="005E1DD2" w:rsidP="005E1DD2">
      <w:pPr>
        <w:spacing w:line="0" w:lineRule="atLeast"/>
        <w:ind w:firstLine="708"/>
        <w:jc w:val="both"/>
        <w:rPr>
          <w:sz w:val="28"/>
          <w:szCs w:val="28"/>
        </w:rPr>
      </w:pPr>
      <w:r w:rsidRPr="00F145AB">
        <w:rPr>
          <w:sz w:val="28"/>
          <w:szCs w:val="28"/>
        </w:rPr>
        <w:t>-подготовк</w:t>
      </w:r>
      <w:r w:rsidR="002C3165">
        <w:rPr>
          <w:sz w:val="28"/>
          <w:szCs w:val="28"/>
        </w:rPr>
        <w:t>у</w:t>
      </w:r>
      <w:r w:rsidR="00BB7307">
        <w:rPr>
          <w:sz w:val="28"/>
          <w:szCs w:val="28"/>
        </w:rPr>
        <w:t>,</w:t>
      </w:r>
      <w:r w:rsidRPr="00F145AB">
        <w:rPr>
          <w:sz w:val="28"/>
          <w:szCs w:val="28"/>
        </w:rPr>
        <w:t xml:space="preserve"> размещение информационных материалов и фотоматериалов о деятельности органов местного самоуправления в </w:t>
      </w:r>
      <w:r w:rsidR="00BB7307">
        <w:rPr>
          <w:sz w:val="28"/>
          <w:szCs w:val="28"/>
        </w:rPr>
        <w:t>средствах массовой информации</w:t>
      </w:r>
      <w:r w:rsidRPr="00F145AB">
        <w:rPr>
          <w:sz w:val="28"/>
          <w:szCs w:val="28"/>
        </w:rPr>
        <w:t xml:space="preserve"> города и ХМАО-Югры на 201</w:t>
      </w:r>
      <w:r w:rsidR="0067375F">
        <w:rPr>
          <w:sz w:val="28"/>
          <w:szCs w:val="28"/>
        </w:rPr>
        <w:t>9</w:t>
      </w:r>
      <w:r w:rsidRPr="00F145AB">
        <w:rPr>
          <w:sz w:val="28"/>
          <w:szCs w:val="28"/>
        </w:rPr>
        <w:t xml:space="preserve"> год 8 173,100 тыс. рублей, на 20</w:t>
      </w:r>
      <w:r w:rsidR="0067375F">
        <w:rPr>
          <w:sz w:val="28"/>
          <w:szCs w:val="28"/>
        </w:rPr>
        <w:t>20</w:t>
      </w:r>
      <w:r w:rsidRPr="00F145AB">
        <w:rPr>
          <w:sz w:val="28"/>
          <w:szCs w:val="28"/>
        </w:rPr>
        <w:t xml:space="preserve"> год </w:t>
      </w:r>
      <w:r w:rsidR="000B3B31">
        <w:rPr>
          <w:sz w:val="28"/>
          <w:szCs w:val="28"/>
        </w:rPr>
        <w:t>8 173,100</w:t>
      </w:r>
      <w:r w:rsidRPr="00F145AB">
        <w:rPr>
          <w:sz w:val="28"/>
          <w:szCs w:val="28"/>
        </w:rPr>
        <w:t xml:space="preserve"> тыс. рубл</w:t>
      </w:r>
      <w:r w:rsidR="00B76BAB">
        <w:rPr>
          <w:sz w:val="28"/>
          <w:szCs w:val="28"/>
        </w:rPr>
        <w:t>ей, на 202</w:t>
      </w:r>
      <w:r w:rsidR="0067375F">
        <w:rPr>
          <w:sz w:val="28"/>
          <w:szCs w:val="28"/>
        </w:rPr>
        <w:t>1</w:t>
      </w:r>
      <w:r w:rsidR="00B76BAB">
        <w:rPr>
          <w:sz w:val="28"/>
          <w:szCs w:val="28"/>
        </w:rPr>
        <w:t xml:space="preserve"> год </w:t>
      </w:r>
      <w:r w:rsidR="000B3B31">
        <w:rPr>
          <w:sz w:val="28"/>
          <w:szCs w:val="28"/>
        </w:rPr>
        <w:t>8 173,100</w:t>
      </w:r>
      <w:r w:rsidR="00B76BAB">
        <w:rPr>
          <w:sz w:val="28"/>
          <w:szCs w:val="28"/>
        </w:rPr>
        <w:t xml:space="preserve"> тыс. рублей;</w:t>
      </w:r>
    </w:p>
    <w:p w:rsidR="008262A6" w:rsidRPr="00F145AB" w:rsidRDefault="00D00EAE" w:rsidP="008262A6">
      <w:pPr>
        <w:spacing w:line="0" w:lineRule="atLeast"/>
        <w:ind w:firstLine="708"/>
        <w:jc w:val="both"/>
        <w:rPr>
          <w:sz w:val="28"/>
          <w:szCs w:val="28"/>
        </w:rPr>
      </w:pPr>
      <w:r w:rsidRPr="00F145AB">
        <w:rPr>
          <w:sz w:val="28"/>
          <w:szCs w:val="28"/>
        </w:rPr>
        <w:t xml:space="preserve">-обеспечение деятельности </w:t>
      </w:r>
      <w:r w:rsidR="00230041">
        <w:rPr>
          <w:sz w:val="28"/>
          <w:szCs w:val="28"/>
        </w:rPr>
        <w:t>МАУ «РГ «Здравствуйте, нефтеюганцы»</w:t>
      </w:r>
      <w:r w:rsidRPr="00F145AB">
        <w:rPr>
          <w:sz w:val="28"/>
          <w:szCs w:val="28"/>
        </w:rPr>
        <w:t>» на 201</w:t>
      </w:r>
      <w:r w:rsidR="0067375F">
        <w:rPr>
          <w:sz w:val="28"/>
          <w:szCs w:val="28"/>
        </w:rPr>
        <w:t>9</w:t>
      </w:r>
      <w:r w:rsidRPr="00F145AB">
        <w:rPr>
          <w:sz w:val="28"/>
          <w:szCs w:val="28"/>
        </w:rPr>
        <w:t xml:space="preserve"> год </w:t>
      </w:r>
      <w:r w:rsidR="0067375F">
        <w:rPr>
          <w:sz w:val="28"/>
          <w:szCs w:val="28"/>
        </w:rPr>
        <w:t>14 927,800</w:t>
      </w:r>
      <w:r w:rsidRPr="00F145AB">
        <w:rPr>
          <w:sz w:val="28"/>
          <w:szCs w:val="28"/>
        </w:rPr>
        <w:t xml:space="preserve"> тыс. рублей, на 20</w:t>
      </w:r>
      <w:r w:rsidR="0067375F">
        <w:rPr>
          <w:sz w:val="28"/>
          <w:szCs w:val="28"/>
        </w:rPr>
        <w:t>20</w:t>
      </w:r>
      <w:r w:rsidRPr="00F145AB">
        <w:rPr>
          <w:sz w:val="28"/>
          <w:szCs w:val="28"/>
        </w:rPr>
        <w:t xml:space="preserve"> год </w:t>
      </w:r>
      <w:r w:rsidR="0067375F">
        <w:rPr>
          <w:sz w:val="28"/>
          <w:szCs w:val="28"/>
        </w:rPr>
        <w:t>14 822,600</w:t>
      </w:r>
      <w:r w:rsidRPr="00F145AB">
        <w:rPr>
          <w:sz w:val="28"/>
          <w:szCs w:val="28"/>
        </w:rPr>
        <w:t xml:space="preserve"> тыс. рублей, на 202</w:t>
      </w:r>
      <w:r w:rsidR="0067375F">
        <w:rPr>
          <w:sz w:val="28"/>
          <w:szCs w:val="28"/>
        </w:rPr>
        <w:t>1</w:t>
      </w:r>
      <w:r w:rsidRPr="00F145AB">
        <w:rPr>
          <w:sz w:val="28"/>
          <w:szCs w:val="28"/>
        </w:rPr>
        <w:t xml:space="preserve"> год </w:t>
      </w:r>
      <w:r w:rsidR="0067375F">
        <w:rPr>
          <w:sz w:val="28"/>
          <w:szCs w:val="28"/>
        </w:rPr>
        <w:t>14 927,800</w:t>
      </w:r>
      <w:r w:rsidRPr="00F145AB">
        <w:rPr>
          <w:sz w:val="28"/>
          <w:szCs w:val="28"/>
        </w:rPr>
        <w:t xml:space="preserve"> тыс. рублей.</w:t>
      </w:r>
    </w:p>
    <w:p w:rsidR="002C4342" w:rsidRPr="008D03E7" w:rsidRDefault="004B6A20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F145AB">
        <w:rPr>
          <w:sz w:val="28"/>
          <w:szCs w:val="28"/>
        </w:rPr>
        <w:t>2.</w:t>
      </w:r>
      <w:r w:rsidR="00FF37A1">
        <w:rPr>
          <w:sz w:val="28"/>
          <w:szCs w:val="28"/>
        </w:rPr>
        <w:t>7</w:t>
      </w:r>
      <w:r w:rsidR="003B187D" w:rsidRPr="00F145AB">
        <w:rPr>
          <w:sz w:val="28"/>
          <w:szCs w:val="28"/>
        </w:rPr>
        <w:t>.</w:t>
      </w:r>
      <w:r w:rsidR="008262A6" w:rsidRPr="00F145AB">
        <w:rPr>
          <w:sz w:val="28"/>
          <w:szCs w:val="28"/>
        </w:rPr>
        <w:t>2</w:t>
      </w:r>
      <w:r w:rsidR="003B187D" w:rsidRPr="00F145AB">
        <w:rPr>
          <w:sz w:val="28"/>
          <w:szCs w:val="28"/>
        </w:rPr>
        <w:t xml:space="preserve">. </w:t>
      </w:r>
      <w:r w:rsidR="00311BFE" w:rsidRPr="00F145AB">
        <w:rPr>
          <w:sz w:val="28"/>
          <w:szCs w:val="28"/>
        </w:rPr>
        <w:t>Д</w:t>
      </w:r>
      <w:r w:rsidR="00932CA3" w:rsidRPr="00F145AB">
        <w:rPr>
          <w:sz w:val="28"/>
          <w:szCs w:val="28"/>
        </w:rPr>
        <w:t>епартамент</w:t>
      </w:r>
      <w:r w:rsidR="00D7221D" w:rsidRPr="00F145AB">
        <w:rPr>
          <w:sz w:val="28"/>
          <w:szCs w:val="28"/>
        </w:rPr>
        <w:t>у</w:t>
      </w:r>
      <w:r w:rsidR="00B97153" w:rsidRPr="00F145AB">
        <w:rPr>
          <w:sz w:val="28"/>
          <w:szCs w:val="28"/>
        </w:rPr>
        <w:t xml:space="preserve"> муниципального имущества </w:t>
      </w:r>
      <w:r w:rsidR="00D7221D" w:rsidRPr="00F145AB">
        <w:rPr>
          <w:sz w:val="28"/>
          <w:szCs w:val="28"/>
        </w:rPr>
        <w:t>администрации города Нефтеюганска</w:t>
      </w:r>
      <w:r w:rsidR="00C07982" w:rsidRPr="00F145AB">
        <w:rPr>
          <w:sz w:val="28"/>
          <w:szCs w:val="28"/>
        </w:rPr>
        <w:t xml:space="preserve"> на обеспечение деятельности </w:t>
      </w:r>
      <w:r w:rsidR="00230041">
        <w:rPr>
          <w:sz w:val="28"/>
          <w:szCs w:val="28"/>
        </w:rPr>
        <w:t>АУ «НИЦ</w:t>
      </w:r>
      <w:r w:rsidR="00230041" w:rsidRPr="008D03E7">
        <w:rPr>
          <w:sz w:val="28"/>
          <w:szCs w:val="28"/>
        </w:rPr>
        <w:t>»</w:t>
      </w:r>
      <w:r w:rsidR="008D03E7" w:rsidRPr="008D03E7">
        <w:rPr>
          <w:sz w:val="28"/>
          <w:szCs w:val="28"/>
        </w:rPr>
        <w:t xml:space="preserve"> на 2019 год 22 722,300 </w:t>
      </w:r>
      <w:r w:rsidR="008D03E7" w:rsidRPr="008D03E7">
        <w:rPr>
          <w:sz w:val="28"/>
          <w:szCs w:val="28"/>
        </w:rPr>
        <w:lastRenderedPageBreak/>
        <w:t>тыс. рублей, на 2020 год 22 254,100 тыс. рублей, на 2021 год 22 605,300</w:t>
      </w:r>
      <w:r w:rsidR="008D03E7">
        <w:rPr>
          <w:sz w:val="28"/>
          <w:szCs w:val="28"/>
        </w:rPr>
        <w:t xml:space="preserve"> </w:t>
      </w:r>
      <w:r w:rsidR="008D03E7" w:rsidRPr="008D03E7">
        <w:rPr>
          <w:sz w:val="28"/>
          <w:szCs w:val="28"/>
        </w:rPr>
        <w:t>тыс. рублей.</w:t>
      </w:r>
    </w:p>
    <w:p w:rsidR="00EA745D" w:rsidRPr="005D458C" w:rsidRDefault="00EA745D" w:rsidP="00EE72B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D458C">
        <w:rPr>
          <w:rFonts w:eastAsiaTheme="minorHAnsi"/>
          <w:sz w:val="28"/>
          <w:szCs w:val="28"/>
          <w:lang w:eastAsia="en-US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1B7DD8" w:rsidRPr="00F145AB" w:rsidRDefault="001B7DD8" w:rsidP="00EE72B9">
      <w:pPr>
        <w:spacing w:line="0" w:lineRule="atLeast"/>
        <w:jc w:val="both"/>
        <w:rPr>
          <w:sz w:val="28"/>
          <w:szCs w:val="28"/>
        </w:rPr>
      </w:pPr>
      <w:r w:rsidRPr="005D458C">
        <w:rPr>
          <w:sz w:val="28"/>
          <w:szCs w:val="28"/>
        </w:rPr>
        <w:tab/>
      </w:r>
      <w:r w:rsidR="00EA745D" w:rsidRPr="005D458C">
        <w:rPr>
          <w:sz w:val="28"/>
          <w:szCs w:val="28"/>
        </w:rPr>
        <w:t>Таким образом, с</w:t>
      </w:r>
      <w:r w:rsidR="00CE521C" w:rsidRPr="005D458C">
        <w:rPr>
          <w:sz w:val="28"/>
          <w:szCs w:val="28"/>
        </w:rPr>
        <w:t>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</w:t>
      </w:r>
      <w:r w:rsidR="00171C94" w:rsidRPr="005D458C">
        <w:rPr>
          <w:sz w:val="28"/>
          <w:szCs w:val="28"/>
        </w:rPr>
        <w:t xml:space="preserve"> </w:t>
      </w:r>
      <w:r w:rsidRPr="005D458C">
        <w:rPr>
          <w:sz w:val="28"/>
          <w:szCs w:val="28"/>
        </w:rPr>
        <w:t>будет</w:t>
      </w:r>
      <w:r w:rsidR="00CE521C" w:rsidRPr="005D458C">
        <w:rPr>
          <w:sz w:val="28"/>
          <w:szCs w:val="28"/>
        </w:rPr>
        <w:t xml:space="preserve"> рассматрива</w:t>
      </w:r>
      <w:r w:rsidRPr="005D458C">
        <w:rPr>
          <w:sz w:val="28"/>
          <w:szCs w:val="28"/>
        </w:rPr>
        <w:t>ться</w:t>
      </w:r>
      <w:r w:rsidR="00CE521C" w:rsidRPr="005D458C">
        <w:rPr>
          <w:sz w:val="28"/>
          <w:szCs w:val="28"/>
        </w:rPr>
        <w:t xml:space="preserve"> в составе экспертизы проекта бюджета города на очередной фи</w:t>
      </w:r>
      <w:r w:rsidRPr="005D458C">
        <w:rPr>
          <w:sz w:val="28"/>
          <w:szCs w:val="28"/>
        </w:rPr>
        <w:t>нансовый год и плановый период.</w:t>
      </w:r>
    </w:p>
    <w:p w:rsidR="001D7A7F" w:rsidRDefault="00D73979" w:rsidP="000C4BA0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6A61" w:rsidRPr="00F145AB">
        <w:rPr>
          <w:sz w:val="28"/>
          <w:szCs w:val="28"/>
        </w:rPr>
        <w:t xml:space="preserve">По результатам </w:t>
      </w:r>
      <w:r w:rsidR="001D7A7F">
        <w:rPr>
          <w:sz w:val="28"/>
          <w:szCs w:val="28"/>
        </w:rPr>
        <w:t xml:space="preserve">проведённого экспертно-аналитического мероприятия </w:t>
      </w:r>
      <w:r w:rsidR="00CB6A61" w:rsidRPr="00F145AB">
        <w:rPr>
          <w:sz w:val="28"/>
          <w:szCs w:val="28"/>
        </w:rPr>
        <w:t>установлено</w:t>
      </w:r>
      <w:r w:rsidR="001D7A7F">
        <w:rPr>
          <w:sz w:val="28"/>
          <w:szCs w:val="28"/>
        </w:rPr>
        <w:t xml:space="preserve"> следующее</w:t>
      </w:r>
      <w:r w:rsidR="004B6FA2" w:rsidRPr="00F145AB">
        <w:rPr>
          <w:sz w:val="28"/>
          <w:szCs w:val="28"/>
        </w:rPr>
        <w:t>:</w:t>
      </w:r>
    </w:p>
    <w:p w:rsidR="003B6120" w:rsidRPr="00DC3D8B" w:rsidRDefault="00D73979" w:rsidP="003B6120">
      <w:pPr>
        <w:pStyle w:val="ConsPlusNormal"/>
        <w:ind w:firstLine="709"/>
        <w:jc w:val="both"/>
      </w:pPr>
      <w:r>
        <w:rPr>
          <w:color w:val="000000"/>
        </w:rPr>
        <w:t>3.</w:t>
      </w:r>
      <w:r w:rsidR="003B6120">
        <w:rPr>
          <w:color w:val="000000"/>
        </w:rPr>
        <w:t>1. В</w:t>
      </w:r>
      <w:r w:rsidR="003B6120" w:rsidRPr="00DC3D8B">
        <w:rPr>
          <w:color w:val="000000"/>
        </w:rPr>
        <w:t xml:space="preserve"> соответствии</w:t>
      </w:r>
      <w:r w:rsidR="003B6120" w:rsidRPr="00DC3D8B">
        <w:t xml:space="preserve"> с пунктом 4 </w:t>
      </w:r>
      <w:r w:rsidR="003B6120" w:rsidRPr="00DC3D8B">
        <w:rPr>
          <w:color w:val="000000"/>
        </w:rPr>
        <w:t>статьи 421 Налогового кодекса Российской Федерации (далее по тексту – НК РФ) п</w:t>
      </w:r>
      <w:r w:rsidR="003B6120" w:rsidRPr="00DC3D8B">
        <w:t>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ежегодной индексации с 1 января соответствующего года исходя из роста средней заработной платы в Российской Федерации.</w:t>
      </w:r>
    </w:p>
    <w:p w:rsidR="003B6120" w:rsidRPr="00DC3D8B" w:rsidRDefault="003B6120" w:rsidP="003B6120">
      <w:pPr>
        <w:pStyle w:val="ConsPlusNormal"/>
        <w:ind w:firstLine="709"/>
        <w:jc w:val="both"/>
      </w:pPr>
      <w:r w:rsidRPr="00DC3D8B">
        <w:rPr>
          <w:color w:val="000000"/>
        </w:rPr>
        <w:t xml:space="preserve">Исходя из положений </w:t>
      </w:r>
      <w:hyperlink r:id="rId11" w:anchor="ZAP2CJA3HD" w:tooltip="5. Для плательщиков, указанных в подпункте 1 пункта 1 статьи 419 настоящего Кодекса, на период 2017-2021 годов предельная величина базы для исчисления страховых взносов на обязательное..." w:history="1">
        <w:r w:rsidRPr="00DC3D8B">
          <w:rPr>
            <w:color w:val="000000"/>
          </w:rPr>
          <w:t>пункта 5</w:t>
        </w:r>
      </w:hyperlink>
      <w:r w:rsidRPr="00DC3D8B">
        <w:rPr>
          <w:color w:val="000000"/>
        </w:rPr>
        <w:t xml:space="preserve"> статьи 421 НК РФ д</w:t>
      </w:r>
      <w:r w:rsidRPr="00DC3D8B">
        <w:t xml:space="preserve">ля плательщиков, </w:t>
      </w:r>
      <w:r w:rsidRPr="00DC3D8B">
        <w:rPr>
          <w:color w:val="000000"/>
        </w:rPr>
        <w:t>производящих выплаты и иные вознаграждения физическим лицам</w:t>
      </w:r>
      <w:r w:rsidRPr="00DC3D8B">
        <w:t>, на период 2017-2021 годов предельная величина базы для исчисления страховых взносов на обязательное пенсионное страхование устанавливается с уч</w:t>
      </w:r>
      <w:r>
        <w:t>ё</w:t>
      </w:r>
      <w:r w:rsidRPr="00DC3D8B">
        <w:t>том определённого на соответствующий год размера средней заработной платы в Российской Федерации, увеличенного в двенадцать раз, и следующих применяемых к нему повышающих коэффициентов на соответствующий календарный год:</w:t>
      </w:r>
    </w:p>
    <w:p w:rsidR="003B6120" w:rsidRPr="00DC3D8B" w:rsidRDefault="003B6120" w:rsidP="003B6120">
      <w:pPr>
        <w:pStyle w:val="ConsPlusNormal"/>
        <w:ind w:firstLine="709"/>
        <w:jc w:val="both"/>
      </w:pPr>
      <w:r w:rsidRPr="00DC3D8B">
        <w:t>&gt; в 2017 году - 1,9;</w:t>
      </w:r>
    </w:p>
    <w:p w:rsidR="003B6120" w:rsidRPr="00DC3D8B" w:rsidRDefault="003B6120" w:rsidP="003B6120">
      <w:pPr>
        <w:pStyle w:val="ConsPlusNormal"/>
        <w:ind w:firstLine="709"/>
        <w:jc w:val="both"/>
      </w:pPr>
      <w:r w:rsidRPr="00DC3D8B">
        <w:t>&gt; в 2018 году - 2,0;</w:t>
      </w:r>
    </w:p>
    <w:p w:rsidR="003B6120" w:rsidRPr="00DC3D8B" w:rsidRDefault="003B6120" w:rsidP="003B6120">
      <w:pPr>
        <w:pStyle w:val="ConsPlusNormal"/>
        <w:ind w:firstLine="709"/>
        <w:jc w:val="both"/>
      </w:pPr>
      <w:r w:rsidRPr="00DC3D8B">
        <w:t>&gt; в 2019 году - 2,1;</w:t>
      </w:r>
    </w:p>
    <w:p w:rsidR="003B6120" w:rsidRPr="00DC3D8B" w:rsidRDefault="003B6120" w:rsidP="003B6120">
      <w:pPr>
        <w:pStyle w:val="ConsPlusNormal"/>
        <w:ind w:firstLine="709"/>
        <w:jc w:val="both"/>
      </w:pPr>
      <w:r w:rsidRPr="00DC3D8B">
        <w:t>&gt; в 2020 году - 2,2;</w:t>
      </w:r>
    </w:p>
    <w:p w:rsidR="003B6120" w:rsidRPr="00DC3D8B" w:rsidRDefault="003B6120" w:rsidP="003B6120">
      <w:pPr>
        <w:pStyle w:val="ConsPlusNormal"/>
        <w:ind w:firstLine="709"/>
        <w:jc w:val="both"/>
      </w:pPr>
      <w:r w:rsidRPr="00DC3D8B">
        <w:t>&gt; в 2021 году - 2,3.</w:t>
      </w:r>
    </w:p>
    <w:p w:rsidR="003B6120" w:rsidRDefault="003B6120" w:rsidP="003B6120">
      <w:pPr>
        <w:ind w:firstLine="709"/>
        <w:jc w:val="both"/>
        <w:rPr>
          <w:color w:val="000000"/>
          <w:sz w:val="28"/>
          <w:szCs w:val="28"/>
        </w:rPr>
      </w:pPr>
      <w:r w:rsidRPr="00DC3D8B">
        <w:rPr>
          <w:color w:val="000000"/>
          <w:sz w:val="28"/>
          <w:szCs w:val="28"/>
        </w:rPr>
        <w:t>Согласно разработанным Министерством экономического развития Российской Федерации параметрам прогноза социально-экономического развития Российской Федерации на 201</w:t>
      </w:r>
      <w:r>
        <w:rPr>
          <w:color w:val="000000"/>
          <w:sz w:val="28"/>
          <w:szCs w:val="28"/>
        </w:rPr>
        <w:t>9</w:t>
      </w:r>
      <w:r w:rsidRPr="00DC3D8B">
        <w:rPr>
          <w:color w:val="000000"/>
          <w:sz w:val="28"/>
          <w:szCs w:val="28"/>
        </w:rPr>
        <w:t xml:space="preserve"> год и плановый период 20</w:t>
      </w:r>
      <w:r>
        <w:rPr>
          <w:color w:val="000000"/>
          <w:sz w:val="28"/>
          <w:szCs w:val="28"/>
        </w:rPr>
        <w:t>20</w:t>
      </w:r>
      <w:r w:rsidRPr="00DC3D8B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Pr="00DC3D8B">
        <w:rPr>
          <w:color w:val="000000"/>
          <w:sz w:val="28"/>
          <w:szCs w:val="28"/>
        </w:rPr>
        <w:t>1 годов номинальная начисленная среднемесячная заработная плата (далее по тексту – ННСЗП)</w:t>
      </w:r>
      <w:r>
        <w:rPr>
          <w:color w:val="000000"/>
          <w:sz w:val="28"/>
          <w:szCs w:val="28"/>
        </w:rPr>
        <w:t xml:space="preserve"> </w:t>
      </w:r>
      <w:r w:rsidRPr="00DC3D8B">
        <w:rPr>
          <w:color w:val="000000"/>
          <w:sz w:val="28"/>
          <w:szCs w:val="28"/>
        </w:rPr>
        <w:t>на одного работника</w:t>
      </w:r>
      <w:r w:rsidRPr="009064C1">
        <w:rPr>
          <w:color w:val="000000"/>
          <w:sz w:val="28"/>
          <w:szCs w:val="28"/>
        </w:rPr>
        <w:t xml:space="preserve"> </w:t>
      </w:r>
      <w:r w:rsidRPr="00DC3D8B">
        <w:rPr>
          <w:color w:val="000000"/>
          <w:sz w:val="28"/>
          <w:szCs w:val="28"/>
        </w:rPr>
        <w:t>составит</w:t>
      </w:r>
      <w:r>
        <w:rPr>
          <w:color w:val="000000"/>
          <w:sz w:val="28"/>
          <w:szCs w:val="28"/>
        </w:rPr>
        <w:t>:</w:t>
      </w:r>
    </w:p>
    <w:p w:rsidR="003B6120" w:rsidRDefault="003B6120" w:rsidP="003B61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C3D8B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9</w:t>
      </w:r>
      <w:r w:rsidRPr="00DC3D8B">
        <w:rPr>
          <w:color w:val="000000"/>
          <w:sz w:val="28"/>
          <w:szCs w:val="28"/>
        </w:rPr>
        <w:t xml:space="preserve"> году 4</w:t>
      </w:r>
      <w:r>
        <w:rPr>
          <w:color w:val="000000"/>
          <w:sz w:val="28"/>
          <w:szCs w:val="28"/>
        </w:rPr>
        <w:t>5</w:t>
      </w:r>
      <w:r w:rsidRPr="00DC3D8B">
        <w:rPr>
          <w:color w:val="000000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>39 рублей;</w:t>
      </w:r>
    </w:p>
    <w:p w:rsidR="003B6120" w:rsidRPr="00DC3D8B" w:rsidRDefault="003B6120" w:rsidP="003B6120">
      <w:pPr>
        <w:ind w:firstLine="709"/>
        <w:jc w:val="both"/>
        <w:rPr>
          <w:color w:val="000000"/>
          <w:sz w:val="28"/>
          <w:szCs w:val="28"/>
        </w:rPr>
      </w:pPr>
      <w:r w:rsidRPr="00DC3D8B">
        <w:rPr>
          <w:color w:val="000000"/>
          <w:sz w:val="28"/>
          <w:szCs w:val="28"/>
        </w:rPr>
        <w:t>- в 20</w:t>
      </w:r>
      <w:r>
        <w:rPr>
          <w:color w:val="000000"/>
          <w:sz w:val="28"/>
          <w:szCs w:val="28"/>
        </w:rPr>
        <w:t>20</w:t>
      </w:r>
      <w:r w:rsidRPr="00DC3D8B">
        <w:rPr>
          <w:color w:val="000000"/>
          <w:sz w:val="28"/>
          <w:szCs w:val="28"/>
        </w:rPr>
        <w:t xml:space="preserve"> году 4</w:t>
      </w:r>
      <w:r>
        <w:rPr>
          <w:color w:val="000000"/>
          <w:sz w:val="28"/>
          <w:szCs w:val="28"/>
        </w:rPr>
        <w:t>8</w:t>
      </w:r>
      <w:r w:rsidRPr="00DC3D8B">
        <w:rPr>
          <w:color w:val="000000"/>
          <w:sz w:val="28"/>
          <w:szCs w:val="28"/>
        </w:rPr>
        <w:t> 0</w:t>
      </w:r>
      <w:r>
        <w:rPr>
          <w:color w:val="000000"/>
          <w:sz w:val="28"/>
          <w:szCs w:val="28"/>
        </w:rPr>
        <w:t>99</w:t>
      </w:r>
      <w:r w:rsidRPr="00DC3D8B">
        <w:rPr>
          <w:color w:val="000000"/>
          <w:sz w:val="28"/>
          <w:szCs w:val="28"/>
        </w:rPr>
        <w:t xml:space="preserve"> рублей;</w:t>
      </w:r>
    </w:p>
    <w:p w:rsidR="003B6120" w:rsidRPr="00DC3D8B" w:rsidRDefault="003B6120" w:rsidP="003B6120">
      <w:pPr>
        <w:ind w:firstLine="709"/>
        <w:jc w:val="both"/>
        <w:rPr>
          <w:color w:val="000000"/>
          <w:sz w:val="28"/>
          <w:szCs w:val="28"/>
        </w:rPr>
      </w:pPr>
      <w:r w:rsidRPr="00DC3D8B">
        <w:rPr>
          <w:color w:val="000000"/>
          <w:sz w:val="28"/>
          <w:szCs w:val="28"/>
        </w:rPr>
        <w:t>- в 202</w:t>
      </w:r>
      <w:r>
        <w:rPr>
          <w:color w:val="000000"/>
          <w:sz w:val="28"/>
          <w:szCs w:val="28"/>
        </w:rPr>
        <w:t>1</w:t>
      </w:r>
      <w:r w:rsidRPr="00DC3D8B">
        <w:rPr>
          <w:color w:val="000000"/>
          <w:sz w:val="28"/>
          <w:szCs w:val="28"/>
        </w:rPr>
        <w:t xml:space="preserve"> году 5</w:t>
      </w:r>
      <w:r>
        <w:rPr>
          <w:color w:val="000000"/>
          <w:sz w:val="28"/>
          <w:szCs w:val="28"/>
        </w:rPr>
        <w:t>1</w:t>
      </w:r>
      <w:r w:rsidRPr="00DC3D8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25</w:t>
      </w:r>
      <w:r w:rsidRPr="00DC3D8B">
        <w:rPr>
          <w:color w:val="000000"/>
          <w:sz w:val="28"/>
          <w:szCs w:val="28"/>
        </w:rPr>
        <w:t xml:space="preserve">6 рублей. </w:t>
      </w:r>
    </w:p>
    <w:p w:rsidR="003B6120" w:rsidRDefault="003B6120" w:rsidP="003B6120">
      <w:pPr>
        <w:ind w:firstLine="709"/>
        <w:jc w:val="both"/>
        <w:rPr>
          <w:color w:val="000000"/>
          <w:sz w:val="28"/>
          <w:szCs w:val="28"/>
        </w:rPr>
      </w:pPr>
      <w:r w:rsidRPr="00DC3D8B">
        <w:rPr>
          <w:color w:val="000000"/>
          <w:sz w:val="28"/>
          <w:szCs w:val="28"/>
        </w:rPr>
        <w:lastRenderedPageBreak/>
        <w:t>Аналогичный показатель заработной платы в 201</w:t>
      </w:r>
      <w:r>
        <w:rPr>
          <w:color w:val="000000"/>
          <w:sz w:val="28"/>
          <w:szCs w:val="28"/>
        </w:rPr>
        <w:t>8</w:t>
      </w:r>
      <w:r w:rsidRPr="00DC3D8B">
        <w:rPr>
          <w:color w:val="000000"/>
          <w:sz w:val="28"/>
          <w:szCs w:val="28"/>
        </w:rPr>
        <w:t xml:space="preserve"> году – 4</w:t>
      </w:r>
      <w:r>
        <w:rPr>
          <w:color w:val="000000"/>
          <w:sz w:val="28"/>
          <w:szCs w:val="28"/>
        </w:rPr>
        <w:t>3 008</w:t>
      </w:r>
      <w:r w:rsidRPr="00DC3D8B">
        <w:rPr>
          <w:color w:val="000000"/>
          <w:sz w:val="28"/>
          <w:szCs w:val="28"/>
        </w:rPr>
        <w:t xml:space="preserve"> рубля. Таким образом, исходя из параметров прогнозных показателей, размер </w:t>
      </w:r>
      <w:r>
        <w:rPr>
          <w:color w:val="000000"/>
          <w:sz w:val="28"/>
          <w:szCs w:val="28"/>
        </w:rPr>
        <w:t>ННСЗП</w:t>
      </w:r>
      <w:r w:rsidRPr="00DC3D8B">
        <w:rPr>
          <w:color w:val="000000"/>
          <w:sz w:val="28"/>
          <w:szCs w:val="28"/>
        </w:rPr>
        <w:t xml:space="preserve"> увеличится</w:t>
      </w:r>
      <w:r>
        <w:rPr>
          <w:color w:val="000000"/>
          <w:sz w:val="28"/>
          <w:szCs w:val="28"/>
        </w:rPr>
        <w:t xml:space="preserve"> по сравнению с предыдущим годом:</w:t>
      </w:r>
    </w:p>
    <w:p w:rsidR="003B6120" w:rsidRDefault="003B6120" w:rsidP="003B61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C3D8B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9</w:t>
      </w:r>
      <w:r w:rsidRPr="00DC3D8B">
        <w:rPr>
          <w:color w:val="000000"/>
          <w:sz w:val="28"/>
          <w:szCs w:val="28"/>
        </w:rPr>
        <w:t xml:space="preserve"> году на 6,</w:t>
      </w:r>
      <w:r>
        <w:rPr>
          <w:color w:val="000000"/>
          <w:sz w:val="28"/>
          <w:szCs w:val="28"/>
        </w:rPr>
        <w:t>1</w:t>
      </w:r>
      <w:r w:rsidRPr="00DC3D8B">
        <w:rPr>
          <w:color w:val="000000"/>
          <w:sz w:val="28"/>
          <w:szCs w:val="28"/>
        </w:rPr>
        <w:t xml:space="preserve"> % (4</w:t>
      </w:r>
      <w:r>
        <w:rPr>
          <w:color w:val="000000"/>
          <w:sz w:val="28"/>
          <w:szCs w:val="28"/>
        </w:rPr>
        <w:t>5 639</w:t>
      </w:r>
      <w:r w:rsidRPr="00DC3D8B">
        <w:rPr>
          <w:color w:val="000000"/>
          <w:sz w:val="28"/>
          <w:szCs w:val="28"/>
        </w:rPr>
        <w:t xml:space="preserve"> : </w:t>
      </w:r>
      <w:r>
        <w:rPr>
          <w:color w:val="000000"/>
          <w:sz w:val="28"/>
          <w:szCs w:val="28"/>
        </w:rPr>
        <w:t>4</w:t>
      </w:r>
      <w:r w:rsidRPr="00DC3D8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008</w:t>
      </w:r>
      <w:r w:rsidRPr="00DC3D8B">
        <w:rPr>
          <w:color w:val="000000"/>
          <w:sz w:val="28"/>
          <w:szCs w:val="28"/>
        </w:rPr>
        <w:t xml:space="preserve"> = 1,06</w:t>
      </w:r>
      <w:r>
        <w:rPr>
          <w:color w:val="000000"/>
          <w:sz w:val="28"/>
          <w:szCs w:val="28"/>
        </w:rPr>
        <w:t>1);</w:t>
      </w:r>
    </w:p>
    <w:p w:rsidR="003B6120" w:rsidRDefault="003B6120" w:rsidP="003B61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C3D8B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20</w:t>
      </w:r>
      <w:r w:rsidRPr="00DC3D8B">
        <w:rPr>
          <w:color w:val="000000"/>
          <w:sz w:val="28"/>
          <w:szCs w:val="28"/>
        </w:rPr>
        <w:t xml:space="preserve"> году на </w:t>
      </w:r>
      <w:r>
        <w:rPr>
          <w:color w:val="000000"/>
          <w:sz w:val="28"/>
          <w:szCs w:val="28"/>
        </w:rPr>
        <w:t>5</w:t>
      </w:r>
      <w:r w:rsidRPr="00DC3D8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4</w:t>
      </w:r>
      <w:r w:rsidRPr="00DC3D8B">
        <w:rPr>
          <w:color w:val="000000"/>
          <w:sz w:val="28"/>
          <w:szCs w:val="28"/>
        </w:rPr>
        <w:t xml:space="preserve"> % (4</w:t>
      </w:r>
      <w:r>
        <w:rPr>
          <w:color w:val="000000"/>
          <w:sz w:val="28"/>
          <w:szCs w:val="28"/>
        </w:rPr>
        <w:t>8 099</w:t>
      </w:r>
      <w:r w:rsidRPr="00DC3D8B">
        <w:rPr>
          <w:color w:val="000000"/>
          <w:sz w:val="28"/>
          <w:szCs w:val="28"/>
        </w:rPr>
        <w:t xml:space="preserve"> : </w:t>
      </w:r>
      <w:r>
        <w:rPr>
          <w:color w:val="000000"/>
          <w:sz w:val="28"/>
          <w:szCs w:val="28"/>
        </w:rPr>
        <w:t>45 639</w:t>
      </w:r>
      <w:r w:rsidRPr="00DC3D8B">
        <w:rPr>
          <w:color w:val="000000"/>
          <w:sz w:val="28"/>
          <w:szCs w:val="28"/>
        </w:rPr>
        <w:t xml:space="preserve"> = 1,0</w:t>
      </w:r>
      <w:r>
        <w:rPr>
          <w:color w:val="000000"/>
          <w:sz w:val="28"/>
          <w:szCs w:val="28"/>
        </w:rPr>
        <w:t>54);</w:t>
      </w:r>
    </w:p>
    <w:p w:rsidR="003B6120" w:rsidRPr="00DC3D8B" w:rsidRDefault="003B6120" w:rsidP="003B61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C3D8B">
        <w:rPr>
          <w:color w:val="000000"/>
          <w:sz w:val="28"/>
          <w:szCs w:val="28"/>
        </w:rPr>
        <w:t>в 20</w:t>
      </w:r>
      <w:r>
        <w:rPr>
          <w:color w:val="000000"/>
          <w:sz w:val="28"/>
          <w:szCs w:val="28"/>
        </w:rPr>
        <w:t>2</w:t>
      </w:r>
      <w:r w:rsidRPr="00DC3D8B">
        <w:rPr>
          <w:color w:val="000000"/>
          <w:sz w:val="28"/>
          <w:szCs w:val="28"/>
        </w:rPr>
        <w:t>1 году на 6,</w:t>
      </w:r>
      <w:r>
        <w:rPr>
          <w:color w:val="000000"/>
          <w:sz w:val="28"/>
          <w:szCs w:val="28"/>
        </w:rPr>
        <w:t>6</w:t>
      </w:r>
      <w:r w:rsidRPr="00DC3D8B">
        <w:rPr>
          <w:color w:val="000000"/>
          <w:sz w:val="28"/>
          <w:szCs w:val="28"/>
        </w:rPr>
        <w:t xml:space="preserve"> % (</w:t>
      </w:r>
      <w:r>
        <w:rPr>
          <w:color w:val="000000"/>
          <w:sz w:val="28"/>
          <w:szCs w:val="28"/>
        </w:rPr>
        <w:t>51 256</w:t>
      </w:r>
      <w:r w:rsidRPr="00DC3D8B">
        <w:rPr>
          <w:color w:val="000000"/>
          <w:sz w:val="28"/>
          <w:szCs w:val="28"/>
        </w:rPr>
        <w:t xml:space="preserve"> : </w:t>
      </w:r>
      <w:r>
        <w:rPr>
          <w:color w:val="000000"/>
          <w:sz w:val="28"/>
          <w:szCs w:val="28"/>
        </w:rPr>
        <w:t>48 099</w:t>
      </w:r>
      <w:r w:rsidRPr="00DC3D8B">
        <w:rPr>
          <w:color w:val="000000"/>
          <w:sz w:val="28"/>
          <w:szCs w:val="28"/>
        </w:rPr>
        <w:t xml:space="preserve"> = 1,06</w:t>
      </w:r>
      <w:r>
        <w:rPr>
          <w:color w:val="000000"/>
          <w:sz w:val="28"/>
          <w:szCs w:val="28"/>
        </w:rPr>
        <w:t>6).</w:t>
      </w:r>
    </w:p>
    <w:p w:rsidR="003B6120" w:rsidRPr="00DC3D8B" w:rsidRDefault="003B6120" w:rsidP="003B6120">
      <w:pPr>
        <w:ind w:firstLine="709"/>
        <w:jc w:val="both"/>
        <w:rPr>
          <w:color w:val="000000"/>
          <w:sz w:val="28"/>
          <w:szCs w:val="28"/>
        </w:rPr>
      </w:pPr>
      <w:bookmarkStart w:id="1" w:name="dfasgqn4gr"/>
      <w:bookmarkStart w:id="2" w:name="bssPhr17"/>
      <w:bookmarkStart w:id="3" w:name="vf101"/>
      <w:bookmarkEnd w:id="1"/>
      <w:bookmarkEnd w:id="2"/>
      <w:bookmarkEnd w:id="3"/>
      <w:r w:rsidRPr="00DC3D8B">
        <w:rPr>
          <w:color w:val="000000"/>
          <w:sz w:val="28"/>
          <w:szCs w:val="28"/>
        </w:rPr>
        <w:t>Учитывая установленную в 201</w:t>
      </w:r>
      <w:r>
        <w:rPr>
          <w:color w:val="000000"/>
          <w:sz w:val="28"/>
          <w:szCs w:val="28"/>
        </w:rPr>
        <w:t>8</w:t>
      </w:r>
      <w:r w:rsidRPr="00DC3D8B">
        <w:rPr>
          <w:color w:val="000000"/>
          <w:sz w:val="28"/>
          <w:szCs w:val="28"/>
        </w:rPr>
        <w:t xml:space="preserve"> году постановлением Правительства Российской Федерации от </w:t>
      </w:r>
      <w:r>
        <w:rPr>
          <w:color w:val="000000"/>
          <w:sz w:val="28"/>
          <w:szCs w:val="28"/>
        </w:rPr>
        <w:t>15</w:t>
      </w:r>
      <w:r w:rsidRPr="00DC3D8B">
        <w:rPr>
          <w:color w:val="000000"/>
          <w:sz w:val="28"/>
          <w:szCs w:val="28"/>
        </w:rPr>
        <w:t>.11.201</w:t>
      </w:r>
      <w:r>
        <w:rPr>
          <w:color w:val="000000"/>
          <w:sz w:val="28"/>
          <w:szCs w:val="28"/>
        </w:rPr>
        <w:t>7</w:t>
      </w:r>
      <w:r w:rsidRPr="00DC3D8B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378</w:t>
      </w:r>
      <w:r w:rsidRPr="00DC3D8B">
        <w:rPr>
          <w:color w:val="000000"/>
          <w:sz w:val="28"/>
          <w:szCs w:val="28"/>
        </w:rPr>
        <w:t xml:space="preserve">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</w:t>
      </w:r>
      <w:r>
        <w:rPr>
          <w:color w:val="000000"/>
          <w:sz w:val="28"/>
          <w:szCs w:val="28"/>
        </w:rPr>
        <w:t>8</w:t>
      </w:r>
      <w:r w:rsidRPr="00DC3D8B">
        <w:rPr>
          <w:color w:val="000000"/>
          <w:sz w:val="28"/>
          <w:szCs w:val="28"/>
        </w:rPr>
        <w:t xml:space="preserve"> г.» базу для исчисления страховых взносов на обязательное социальное страхование на случай временной нетрудоспособности и в связи с материнством в сумме, не превышающую </w:t>
      </w:r>
      <w:r>
        <w:rPr>
          <w:color w:val="000000"/>
          <w:sz w:val="28"/>
          <w:szCs w:val="28"/>
        </w:rPr>
        <w:t>81</w:t>
      </w:r>
      <w:r w:rsidRPr="00DC3D8B">
        <w:rPr>
          <w:color w:val="000000"/>
          <w:sz w:val="28"/>
          <w:szCs w:val="28"/>
        </w:rPr>
        <w:t>5 000 рублей нарастающим итогом с начала года в отношении каждого физического лица,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материнством, в отношении каждого физического лица в 201</w:t>
      </w:r>
      <w:r>
        <w:rPr>
          <w:color w:val="000000"/>
          <w:sz w:val="28"/>
          <w:szCs w:val="28"/>
        </w:rPr>
        <w:t>9</w:t>
      </w:r>
      <w:r w:rsidRPr="00DC3D8B">
        <w:rPr>
          <w:color w:val="000000"/>
          <w:sz w:val="28"/>
          <w:szCs w:val="28"/>
        </w:rPr>
        <w:t xml:space="preserve"> году с учётом указанной индексации составит: </w:t>
      </w:r>
      <w:r>
        <w:rPr>
          <w:color w:val="000000"/>
          <w:sz w:val="28"/>
          <w:szCs w:val="28"/>
        </w:rPr>
        <w:t>815</w:t>
      </w:r>
      <w:r w:rsidRPr="00DC3D8B">
        <w:rPr>
          <w:color w:val="000000"/>
          <w:sz w:val="28"/>
          <w:szCs w:val="28"/>
        </w:rPr>
        <w:t xml:space="preserve"> 000 х 1,06</w:t>
      </w:r>
      <w:r>
        <w:rPr>
          <w:color w:val="000000"/>
          <w:sz w:val="28"/>
          <w:szCs w:val="28"/>
        </w:rPr>
        <w:t>1</w:t>
      </w:r>
      <w:r w:rsidRPr="00DC3D8B">
        <w:rPr>
          <w:color w:val="000000"/>
          <w:sz w:val="28"/>
          <w:szCs w:val="28"/>
        </w:rPr>
        <w:t xml:space="preserve"> = 8</w:t>
      </w:r>
      <w:r>
        <w:rPr>
          <w:color w:val="000000"/>
          <w:sz w:val="28"/>
          <w:szCs w:val="28"/>
        </w:rPr>
        <w:t>64 715</w:t>
      </w:r>
      <w:r w:rsidRPr="00DC3D8B">
        <w:rPr>
          <w:color w:val="000000"/>
          <w:sz w:val="28"/>
          <w:szCs w:val="28"/>
        </w:rPr>
        <w:t xml:space="preserve"> рублей, с учётом округления – 8</w:t>
      </w:r>
      <w:r>
        <w:rPr>
          <w:color w:val="000000"/>
          <w:sz w:val="28"/>
          <w:szCs w:val="28"/>
        </w:rPr>
        <w:t>65</w:t>
      </w:r>
      <w:r w:rsidRPr="00DC3D8B">
        <w:rPr>
          <w:color w:val="000000"/>
          <w:sz w:val="28"/>
          <w:szCs w:val="28"/>
        </w:rPr>
        <w:t xml:space="preserve"> 000 рублей.</w:t>
      </w:r>
    </w:p>
    <w:p w:rsidR="003B6120" w:rsidRPr="00DC3D8B" w:rsidRDefault="003B6120" w:rsidP="003B6120">
      <w:pPr>
        <w:ind w:firstLine="709"/>
        <w:jc w:val="both"/>
        <w:rPr>
          <w:color w:val="000000"/>
          <w:sz w:val="28"/>
          <w:szCs w:val="28"/>
        </w:rPr>
      </w:pPr>
      <w:bookmarkStart w:id="4" w:name="dfas1zc4z7"/>
      <w:bookmarkStart w:id="5" w:name="bssPhr18"/>
      <w:bookmarkStart w:id="6" w:name="vf102"/>
      <w:bookmarkEnd w:id="4"/>
      <w:bookmarkEnd w:id="5"/>
      <w:bookmarkEnd w:id="6"/>
      <w:r w:rsidRPr="00DC3D8B">
        <w:rPr>
          <w:color w:val="000000"/>
          <w:sz w:val="28"/>
          <w:szCs w:val="28"/>
        </w:rPr>
        <w:t>Предельная величина базы для исчисления страховых взносов на обязательное пенсионное страхование в отношении каждого физического лица в 201</w:t>
      </w:r>
      <w:r>
        <w:rPr>
          <w:color w:val="000000"/>
          <w:sz w:val="28"/>
          <w:szCs w:val="28"/>
        </w:rPr>
        <w:t>9</w:t>
      </w:r>
      <w:r w:rsidRPr="00DC3D8B">
        <w:rPr>
          <w:color w:val="000000"/>
          <w:sz w:val="28"/>
          <w:szCs w:val="28"/>
        </w:rPr>
        <w:t xml:space="preserve"> году с уч</w:t>
      </w:r>
      <w:r>
        <w:rPr>
          <w:color w:val="000000"/>
          <w:sz w:val="28"/>
          <w:szCs w:val="28"/>
        </w:rPr>
        <w:t>ё</w:t>
      </w:r>
      <w:r w:rsidRPr="00DC3D8B">
        <w:rPr>
          <w:color w:val="000000"/>
          <w:sz w:val="28"/>
          <w:szCs w:val="28"/>
        </w:rPr>
        <w:t>том повышающего коэффициента в размере 2,</w:t>
      </w:r>
      <w:r>
        <w:rPr>
          <w:color w:val="000000"/>
          <w:sz w:val="28"/>
          <w:szCs w:val="28"/>
        </w:rPr>
        <w:t>1</w:t>
      </w:r>
      <w:r w:rsidRPr="00DC3D8B">
        <w:rPr>
          <w:color w:val="000000"/>
          <w:sz w:val="28"/>
          <w:szCs w:val="28"/>
        </w:rPr>
        <w:t xml:space="preserve"> составит: 4</w:t>
      </w:r>
      <w:r>
        <w:rPr>
          <w:color w:val="000000"/>
          <w:sz w:val="28"/>
          <w:szCs w:val="28"/>
        </w:rPr>
        <w:t>5</w:t>
      </w:r>
      <w:r w:rsidRPr="00DC3D8B">
        <w:rPr>
          <w:color w:val="000000"/>
          <w:sz w:val="28"/>
          <w:szCs w:val="28"/>
        </w:rPr>
        <w:t xml:space="preserve"> 6</w:t>
      </w:r>
      <w:r>
        <w:rPr>
          <w:color w:val="000000"/>
          <w:sz w:val="28"/>
          <w:szCs w:val="28"/>
        </w:rPr>
        <w:t>39</w:t>
      </w:r>
      <w:r w:rsidRPr="00DC3D8B">
        <w:rPr>
          <w:color w:val="000000"/>
          <w:sz w:val="28"/>
          <w:szCs w:val="28"/>
        </w:rPr>
        <w:t xml:space="preserve"> х 12 х 2,</w:t>
      </w:r>
      <w:r>
        <w:rPr>
          <w:color w:val="000000"/>
          <w:sz w:val="28"/>
          <w:szCs w:val="28"/>
        </w:rPr>
        <w:t>1</w:t>
      </w:r>
      <w:r w:rsidRPr="00DC3D8B">
        <w:rPr>
          <w:color w:val="000000"/>
          <w:sz w:val="28"/>
          <w:szCs w:val="28"/>
        </w:rPr>
        <w:t xml:space="preserve"> = 1</w:t>
      </w:r>
      <w:r>
        <w:rPr>
          <w:color w:val="000000"/>
          <w:sz w:val="28"/>
          <w:szCs w:val="28"/>
        </w:rPr>
        <w:t> 15</w:t>
      </w:r>
      <w:r w:rsidRPr="00DC3D8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103</w:t>
      </w:r>
      <w:r w:rsidRPr="00DC3D8B">
        <w:rPr>
          <w:color w:val="000000"/>
          <w:sz w:val="28"/>
          <w:szCs w:val="28"/>
        </w:rPr>
        <w:t xml:space="preserve"> рубля, с учётом округления – </w:t>
      </w:r>
      <w:r>
        <w:rPr>
          <w:color w:val="000000"/>
          <w:sz w:val="28"/>
          <w:szCs w:val="28"/>
        </w:rPr>
        <w:t>1 150</w:t>
      </w:r>
      <w:r w:rsidRPr="00DC3D8B">
        <w:rPr>
          <w:color w:val="000000"/>
          <w:sz w:val="28"/>
          <w:szCs w:val="28"/>
        </w:rPr>
        <w:t xml:space="preserve"> 000 рублей.</w:t>
      </w:r>
    </w:p>
    <w:p w:rsidR="003B6120" w:rsidRPr="00DC3D8B" w:rsidRDefault="003B6120" w:rsidP="003B6120">
      <w:pPr>
        <w:ind w:firstLine="709"/>
        <w:jc w:val="both"/>
        <w:rPr>
          <w:sz w:val="28"/>
          <w:szCs w:val="28"/>
        </w:rPr>
      </w:pPr>
      <w:r w:rsidRPr="00DC3D8B">
        <w:rPr>
          <w:sz w:val="28"/>
          <w:szCs w:val="28"/>
        </w:rPr>
        <w:t>Таким образом, следовало включить в расчёт начислений на фонд оплаты труда на очередной финансовый год и плановый период:</w:t>
      </w:r>
    </w:p>
    <w:p w:rsidR="003B6120" w:rsidRPr="00DC3D8B" w:rsidRDefault="003B6120" w:rsidP="003B6120">
      <w:pPr>
        <w:ind w:firstLine="709"/>
        <w:jc w:val="right"/>
        <w:rPr>
          <w:sz w:val="28"/>
          <w:szCs w:val="28"/>
        </w:rPr>
      </w:pPr>
      <w:r w:rsidRPr="00DC3D8B">
        <w:rPr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1418"/>
        <w:gridCol w:w="1191"/>
        <w:gridCol w:w="1338"/>
        <w:gridCol w:w="1366"/>
        <w:gridCol w:w="1314"/>
      </w:tblGrid>
      <w:tr w:rsidR="003B6120" w:rsidRPr="00DC3D8B" w:rsidTr="00B5630F">
        <w:tc>
          <w:tcPr>
            <w:tcW w:w="1668" w:type="dxa"/>
            <w:vMerge w:val="restart"/>
            <w:shd w:val="clear" w:color="auto" w:fill="auto"/>
          </w:tcPr>
          <w:p w:rsidR="003B6120" w:rsidRPr="00DC3D8B" w:rsidRDefault="003B6120" w:rsidP="00B5630F">
            <w:pPr>
              <w:ind w:firstLine="709"/>
              <w:jc w:val="center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B6120" w:rsidRPr="00DC3D8B" w:rsidRDefault="003B6120" w:rsidP="00B5630F">
            <w:pPr>
              <w:jc w:val="center"/>
            </w:pPr>
            <w:r w:rsidRPr="00DC3D8B">
              <w:t>Запланировано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3B6120" w:rsidRPr="00DC3D8B" w:rsidRDefault="003B6120" w:rsidP="00B5630F">
            <w:pPr>
              <w:ind w:firstLine="709"/>
              <w:jc w:val="center"/>
            </w:pPr>
            <w:r w:rsidRPr="00DC3D8B">
              <w:t>Необходимо</w:t>
            </w:r>
          </w:p>
        </w:tc>
        <w:tc>
          <w:tcPr>
            <w:tcW w:w="1314" w:type="dxa"/>
            <w:shd w:val="clear" w:color="auto" w:fill="auto"/>
          </w:tcPr>
          <w:p w:rsidR="003B6120" w:rsidRPr="00DC3D8B" w:rsidRDefault="003B6120" w:rsidP="00B5630F">
            <w:pPr>
              <w:jc w:val="center"/>
            </w:pPr>
            <w:r w:rsidRPr="00DC3D8B">
              <w:t>Разница</w:t>
            </w:r>
          </w:p>
        </w:tc>
      </w:tr>
      <w:tr w:rsidR="003B6120" w:rsidRPr="00DC3D8B" w:rsidTr="00B5630F">
        <w:tc>
          <w:tcPr>
            <w:tcW w:w="1668" w:type="dxa"/>
            <w:vMerge/>
            <w:shd w:val="clear" w:color="auto" w:fill="auto"/>
          </w:tcPr>
          <w:p w:rsidR="003B6120" w:rsidRPr="00DC3D8B" w:rsidRDefault="003B6120" w:rsidP="00B5630F">
            <w:pPr>
              <w:ind w:firstLine="709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jc w:val="center"/>
            </w:pPr>
            <w:r w:rsidRPr="00DC3D8B">
              <w:t>база</w:t>
            </w: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jc w:val="center"/>
            </w:pPr>
            <w:r w:rsidRPr="00DC3D8B">
              <w:t>сумма</w:t>
            </w: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jc w:val="center"/>
            </w:pPr>
            <w:r w:rsidRPr="00DC3D8B">
              <w:rPr>
                <w:color w:val="000000"/>
              </w:rPr>
              <w:t>Н</w:t>
            </w:r>
            <w:r>
              <w:rPr>
                <w:color w:val="000000"/>
              </w:rPr>
              <w:t>Н</w:t>
            </w:r>
            <w:r w:rsidRPr="00DC3D8B">
              <w:rPr>
                <w:color w:val="000000"/>
              </w:rPr>
              <w:t>СЗП</w:t>
            </w: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jc w:val="center"/>
            </w:pPr>
            <w:r w:rsidRPr="00DC3D8B">
              <w:t>база</w:t>
            </w:r>
          </w:p>
        </w:tc>
        <w:tc>
          <w:tcPr>
            <w:tcW w:w="1366" w:type="dxa"/>
            <w:shd w:val="clear" w:color="auto" w:fill="auto"/>
          </w:tcPr>
          <w:p w:rsidR="003B6120" w:rsidRPr="00DC3D8B" w:rsidRDefault="003B6120" w:rsidP="00B5630F">
            <w:pPr>
              <w:jc w:val="center"/>
            </w:pPr>
            <w:r w:rsidRPr="00DC3D8B">
              <w:t>сумма</w:t>
            </w:r>
          </w:p>
        </w:tc>
        <w:tc>
          <w:tcPr>
            <w:tcW w:w="1314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center"/>
            </w:pP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Пенсионное страхование</w:t>
            </w:r>
            <w:r>
              <w:t>: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ind w:firstLine="709"/>
            </w:pP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ind w:firstLine="709"/>
            </w:pP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ind w:firstLine="709"/>
            </w:pP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ind w:firstLine="709"/>
            </w:pPr>
          </w:p>
        </w:tc>
        <w:tc>
          <w:tcPr>
            <w:tcW w:w="1366" w:type="dxa"/>
            <w:shd w:val="clear" w:color="auto" w:fill="auto"/>
          </w:tcPr>
          <w:p w:rsidR="003B6120" w:rsidRPr="00DC3D8B" w:rsidRDefault="003B6120" w:rsidP="00B5630F">
            <w:pPr>
              <w:ind w:firstLine="709"/>
            </w:pPr>
          </w:p>
        </w:tc>
        <w:tc>
          <w:tcPr>
            <w:tcW w:w="1314" w:type="dxa"/>
            <w:shd w:val="clear" w:color="auto" w:fill="auto"/>
          </w:tcPr>
          <w:p w:rsidR="003B6120" w:rsidRPr="00DC3D8B" w:rsidRDefault="003B6120" w:rsidP="00B5630F">
            <w:pPr>
              <w:ind w:firstLine="709"/>
            </w:pP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201</w:t>
            </w:r>
            <w:r>
              <w:t>9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t>1 021</w:t>
            </w:r>
            <w:r w:rsidRPr="00DC3D8B"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ind w:firstLine="33"/>
              <w:jc w:val="right"/>
            </w:pPr>
            <w:r>
              <w:rPr>
                <w:lang w:val="en-US"/>
              </w:rPr>
              <w:t>2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6</w:t>
            </w:r>
            <w:r>
              <w:rPr>
                <w:lang w:val="en-US"/>
              </w:rPr>
              <w:t>45</w:t>
            </w:r>
            <w:r>
              <w:t xml:space="preserve"> </w:t>
            </w:r>
            <w:r>
              <w:rPr>
                <w:lang w:val="en-US"/>
              </w:rPr>
              <w:t>12</w:t>
            </w:r>
            <w:r>
              <w:t>0</w:t>
            </w: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45</w:t>
            </w:r>
            <w:r>
              <w:t xml:space="preserve"> 639</w:t>
            </w: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1 1</w:t>
            </w:r>
            <w:r>
              <w:t>50</w:t>
            </w:r>
            <w:r w:rsidRPr="00DC3D8B">
              <w:t xml:space="preserve"> </w:t>
            </w:r>
            <w:r>
              <w:t>000</w:t>
            </w:r>
          </w:p>
        </w:tc>
        <w:tc>
          <w:tcPr>
            <w:tcW w:w="1366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27 193 120</w:t>
            </w:r>
          </w:p>
        </w:tc>
        <w:tc>
          <w:tcPr>
            <w:tcW w:w="1314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1 548 000</w:t>
            </w: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20</w:t>
            </w: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t>1 021</w:t>
            </w:r>
            <w:r w:rsidRPr="00DC3D8B"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rPr>
                <w:lang w:val="en-US"/>
              </w:rPr>
              <w:t>2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6</w:t>
            </w:r>
            <w:r>
              <w:rPr>
                <w:lang w:val="en-US"/>
              </w:rPr>
              <w:t>45</w:t>
            </w:r>
            <w:r>
              <w:t xml:space="preserve"> </w:t>
            </w:r>
            <w:r>
              <w:rPr>
                <w:lang w:val="en-US"/>
              </w:rPr>
              <w:t>12</w:t>
            </w:r>
            <w:r>
              <w:t>0</w:t>
            </w: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4</w:t>
            </w:r>
            <w:r>
              <w:t>8</w:t>
            </w:r>
            <w:r w:rsidRPr="00DC3D8B">
              <w:t xml:space="preserve"> 0</w:t>
            </w:r>
            <w:r>
              <w:t>99</w:t>
            </w: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1</w:t>
            </w:r>
            <w:r>
              <w:t> 270 000</w:t>
            </w:r>
          </w:p>
        </w:tc>
        <w:tc>
          <w:tcPr>
            <w:tcW w:w="1366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28 633 120</w:t>
            </w:r>
          </w:p>
        </w:tc>
        <w:tc>
          <w:tcPr>
            <w:tcW w:w="1314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2 988 000</w:t>
            </w: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202</w:t>
            </w: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t>1 021</w:t>
            </w:r>
            <w:r w:rsidRPr="00DC3D8B"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rPr>
                <w:lang w:val="en-US"/>
              </w:rPr>
              <w:t>2</w:t>
            </w:r>
            <w:r>
              <w:t>5</w:t>
            </w:r>
            <w:r>
              <w:rPr>
                <w:lang w:val="en-US"/>
              </w:rPr>
              <w:t xml:space="preserve"> </w:t>
            </w:r>
            <w:r>
              <w:t>6</w:t>
            </w:r>
            <w:r>
              <w:rPr>
                <w:lang w:val="en-US"/>
              </w:rPr>
              <w:t>45</w:t>
            </w:r>
            <w:r>
              <w:t xml:space="preserve"> </w:t>
            </w:r>
            <w:r>
              <w:rPr>
                <w:lang w:val="en-US"/>
              </w:rPr>
              <w:t>12</w:t>
            </w:r>
            <w:r>
              <w:t>0</w:t>
            </w: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5</w:t>
            </w:r>
            <w:r>
              <w:t>1</w:t>
            </w:r>
            <w:r w:rsidRPr="00DC3D8B">
              <w:t xml:space="preserve"> 2</w:t>
            </w:r>
            <w:r>
              <w:t>5</w:t>
            </w:r>
            <w:r w:rsidRPr="00DC3D8B">
              <w:t>6</w:t>
            </w: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1</w:t>
            </w:r>
            <w:r>
              <w:t> 4</w:t>
            </w:r>
            <w:r w:rsidRPr="00DC3D8B">
              <w:t>1</w:t>
            </w:r>
            <w:r>
              <w:t>5 000</w:t>
            </w:r>
          </w:p>
        </w:tc>
        <w:tc>
          <w:tcPr>
            <w:tcW w:w="1366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31 130 000</w:t>
            </w:r>
          </w:p>
        </w:tc>
        <w:tc>
          <w:tcPr>
            <w:tcW w:w="1314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5 484 880</w:t>
            </w: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Социальное страхование</w:t>
            </w:r>
            <w:r>
              <w:t>: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66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14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201</w:t>
            </w:r>
            <w:r>
              <w:t>9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t>815</w:t>
            </w:r>
            <w:r w:rsidRPr="00DC3D8B"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2 363 500</w:t>
            </w: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45</w:t>
            </w:r>
            <w:r>
              <w:t xml:space="preserve"> 639</w:t>
            </w: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8</w:t>
            </w:r>
            <w:r>
              <w:t>65 000</w:t>
            </w:r>
          </w:p>
        </w:tc>
        <w:tc>
          <w:tcPr>
            <w:tcW w:w="1366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2 508 500</w:t>
            </w:r>
          </w:p>
        </w:tc>
        <w:tc>
          <w:tcPr>
            <w:tcW w:w="1314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145 000</w:t>
            </w: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20</w:t>
            </w: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t>815</w:t>
            </w:r>
            <w:r w:rsidRPr="00DC3D8B"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rPr>
                <w:lang w:val="en-US"/>
              </w:rPr>
              <w:t>2 363 500</w:t>
            </w: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4</w:t>
            </w:r>
            <w:r>
              <w:t>8</w:t>
            </w:r>
            <w:r w:rsidRPr="00DC3D8B">
              <w:t xml:space="preserve"> 0</w:t>
            </w:r>
            <w:r>
              <w:t>99</w:t>
            </w: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t>912</w:t>
            </w:r>
            <w:r w:rsidRPr="00DC3D8B">
              <w:t xml:space="preserve"> 000</w:t>
            </w:r>
          </w:p>
        </w:tc>
        <w:tc>
          <w:tcPr>
            <w:tcW w:w="1366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2 644 800</w:t>
            </w:r>
          </w:p>
        </w:tc>
        <w:tc>
          <w:tcPr>
            <w:tcW w:w="1314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281 300</w:t>
            </w: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202</w:t>
            </w: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t>815</w:t>
            </w:r>
            <w:r w:rsidRPr="00DC3D8B">
              <w:t xml:space="preserve"> 000</w:t>
            </w: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rPr>
                <w:lang w:val="en-US"/>
              </w:rPr>
              <w:t>2 363 500</w:t>
            </w: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5</w:t>
            </w:r>
            <w:r>
              <w:t>1</w:t>
            </w:r>
            <w:r w:rsidRPr="00DC3D8B">
              <w:t xml:space="preserve"> 2</w:t>
            </w:r>
            <w:r>
              <w:t>5</w:t>
            </w:r>
            <w:r w:rsidRPr="00DC3D8B">
              <w:t>6</w:t>
            </w: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 w:rsidRPr="00DC3D8B">
              <w:t>9</w:t>
            </w:r>
            <w:r>
              <w:t>72</w:t>
            </w:r>
            <w:r w:rsidRPr="00DC3D8B">
              <w:t xml:space="preserve"> 000</w:t>
            </w:r>
          </w:p>
        </w:tc>
        <w:tc>
          <w:tcPr>
            <w:tcW w:w="1366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2 818 800</w:t>
            </w:r>
          </w:p>
        </w:tc>
        <w:tc>
          <w:tcPr>
            <w:tcW w:w="1314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455 300</w:t>
            </w: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Всего</w:t>
            </w:r>
            <w:r>
              <w:t>: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66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14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201</w:t>
            </w:r>
            <w:r>
              <w:t>9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rPr>
                <w:lang w:val="en-US"/>
              </w:rPr>
              <w:t>2</w:t>
            </w:r>
            <w:r>
              <w:t>8 0</w:t>
            </w:r>
            <w:r>
              <w:rPr>
                <w:lang w:val="en-US"/>
              </w:rPr>
              <w:t>08 620</w:t>
            </w: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66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29 701 620</w:t>
            </w:r>
          </w:p>
        </w:tc>
        <w:tc>
          <w:tcPr>
            <w:tcW w:w="1314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1 693 000</w:t>
            </w: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20</w:t>
            </w:r>
            <w:r>
              <w:t>20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rPr>
                <w:lang w:val="en-US"/>
              </w:rPr>
              <w:t>2</w:t>
            </w:r>
            <w:r>
              <w:t>8 0</w:t>
            </w:r>
            <w:r>
              <w:rPr>
                <w:lang w:val="en-US"/>
              </w:rPr>
              <w:t>08 620</w:t>
            </w: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66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31 277 920</w:t>
            </w:r>
          </w:p>
        </w:tc>
        <w:tc>
          <w:tcPr>
            <w:tcW w:w="1314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3 269 300</w:t>
            </w:r>
          </w:p>
        </w:tc>
      </w:tr>
      <w:tr w:rsidR="003B6120" w:rsidRPr="00DC3D8B" w:rsidTr="00B5630F">
        <w:tc>
          <w:tcPr>
            <w:tcW w:w="1668" w:type="dxa"/>
            <w:shd w:val="clear" w:color="auto" w:fill="auto"/>
          </w:tcPr>
          <w:p w:rsidR="003B6120" w:rsidRPr="00DC3D8B" w:rsidRDefault="003B6120" w:rsidP="00B5630F">
            <w:r w:rsidRPr="00DC3D8B">
              <w:t>202</w:t>
            </w:r>
            <w:r>
              <w:t>1</w:t>
            </w:r>
          </w:p>
        </w:tc>
        <w:tc>
          <w:tcPr>
            <w:tcW w:w="1275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3B6120" w:rsidRPr="00DC3D8B" w:rsidRDefault="003B6120" w:rsidP="00B5630F">
            <w:pPr>
              <w:jc w:val="right"/>
            </w:pPr>
            <w:r>
              <w:rPr>
                <w:lang w:val="en-US"/>
              </w:rPr>
              <w:t>2</w:t>
            </w:r>
            <w:r>
              <w:t>8 0</w:t>
            </w:r>
            <w:r>
              <w:rPr>
                <w:lang w:val="en-US"/>
              </w:rPr>
              <w:t>08 620</w:t>
            </w:r>
          </w:p>
        </w:tc>
        <w:tc>
          <w:tcPr>
            <w:tcW w:w="1191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38" w:type="dxa"/>
            <w:shd w:val="clear" w:color="auto" w:fill="auto"/>
          </w:tcPr>
          <w:p w:rsidR="003B6120" w:rsidRPr="00DC3D8B" w:rsidRDefault="003B6120" w:rsidP="00B5630F">
            <w:pPr>
              <w:ind w:firstLine="709"/>
              <w:jc w:val="right"/>
            </w:pPr>
          </w:p>
        </w:tc>
        <w:tc>
          <w:tcPr>
            <w:tcW w:w="1366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33 948 800</w:t>
            </w:r>
          </w:p>
        </w:tc>
        <w:tc>
          <w:tcPr>
            <w:tcW w:w="1314" w:type="dxa"/>
            <w:shd w:val="clear" w:color="auto" w:fill="auto"/>
          </w:tcPr>
          <w:p w:rsidR="003B6120" w:rsidRPr="0087386B" w:rsidRDefault="003B6120" w:rsidP="00B5630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5 940 180</w:t>
            </w:r>
          </w:p>
        </w:tc>
      </w:tr>
    </w:tbl>
    <w:p w:rsidR="003B6120" w:rsidRDefault="003B6120" w:rsidP="003B6120">
      <w:pPr>
        <w:ind w:firstLine="709"/>
        <w:jc w:val="both"/>
        <w:rPr>
          <w:color w:val="000000"/>
          <w:sz w:val="28"/>
          <w:szCs w:val="28"/>
        </w:rPr>
      </w:pPr>
      <w:r w:rsidRPr="00DC3D8B">
        <w:rPr>
          <w:color w:val="000000"/>
          <w:sz w:val="28"/>
          <w:szCs w:val="28"/>
        </w:rPr>
        <w:t>При расчёте страховых взносов на 201</w:t>
      </w:r>
      <w:r>
        <w:rPr>
          <w:color w:val="000000"/>
          <w:sz w:val="28"/>
          <w:szCs w:val="28"/>
        </w:rPr>
        <w:t>9</w:t>
      </w:r>
      <w:r w:rsidRPr="00DC3D8B">
        <w:rPr>
          <w:color w:val="000000"/>
          <w:sz w:val="28"/>
          <w:szCs w:val="28"/>
        </w:rPr>
        <w:t>-202</w:t>
      </w:r>
      <w:r>
        <w:rPr>
          <w:color w:val="000000"/>
          <w:sz w:val="28"/>
          <w:szCs w:val="28"/>
        </w:rPr>
        <w:t>1</w:t>
      </w:r>
      <w:r w:rsidRPr="00DC3D8B">
        <w:rPr>
          <w:color w:val="000000"/>
          <w:sz w:val="28"/>
          <w:szCs w:val="28"/>
        </w:rPr>
        <w:t xml:space="preserve"> годы не учтены положения </w:t>
      </w:r>
      <w:r w:rsidRPr="00DC3D8B">
        <w:rPr>
          <w:sz w:val="28"/>
          <w:szCs w:val="28"/>
        </w:rPr>
        <w:t xml:space="preserve">пунктов 4, 5 </w:t>
      </w:r>
      <w:r w:rsidRPr="00DC3D8B">
        <w:rPr>
          <w:color w:val="000000"/>
          <w:sz w:val="28"/>
          <w:szCs w:val="28"/>
        </w:rPr>
        <w:t>статьи 421 НК РФ.</w:t>
      </w:r>
    </w:p>
    <w:p w:rsidR="003B6120" w:rsidRPr="00CF6877" w:rsidRDefault="003B6120" w:rsidP="00C22BF1">
      <w:pPr>
        <w:ind w:firstLine="709"/>
        <w:jc w:val="both"/>
        <w:rPr>
          <w:sz w:val="28"/>
          <w:szCs w:val="28"/>
        </w:rPr>
      </w:pPr>
      <w:r w:rsidRPr="00CF6877">
        <w:rPr>
          <w:sz w:val="28"/>
          <w:szCs w:val="28"/>
        </w:rPr>
        <w:lastRenderedPageBreak/>
        <w:t xml:space="preserve">Рекомендуем оценить </w:t>
      </w:r>
      <w:r w:rsidR="00141D13">
        <w:rPr>
          <w:sz w:val="28"/>
          <w:szCs w:val="28"/>
        </w:rPr>
        <w:t xml:space="preserve">обоснованность планируемых бюджетных ассигнований на </w:t>
      </w:r>
      <w:r w:rsidRPr="00CF6877">
        <w:rPr>
          <w:sz w:val="28"/>
          <w:szCs w:val="28"/>
        </w:rPr>
        <w:t xml:space="preserve">мероприятие </w:t>
      </w:r>
      <w:r w:rsidR="00C22BF1" w:rsidRPr="00CF6877">
        <w:rPr>
          <w:sz w:val="28"/>
          <w:szCs w:val="28"/>
        </w:rPr>
        <w:t xml:space="preserve">«Обеспечение исполнения муниципальных функций администрации» </w:t>
      </w:r>
      <w:r w:rsidR="00141D13">
        <w:rPr>
          <w:sz w:val="28"/>
          <w:szCs w:val="28"/>
        </w:rPr>
        <w:t xml:space="preserve">в части размера </w:t>
      </w:r>
      <w:r w:rsidRPr="00CF6877">
        <w:rPr>
          <w:sz w:val="28"/>
          <w:szCs w:val="28"/>
        </w:rPr>
        <w:t>страховых взносов.</w:t>
      </w:r>
    </w:p>
    <w:p w:rsidR="003B6120" w:rsidRDefault="00D73979" w:rsidP="00C22BF1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3B6120">
        <w:rPr>
          <w:rFonts w:eastAsiaTheme="minorHAnsi"/>
          <w:sz w:val="28"/>
          <w:szCs w:val="28"/>
          <w:lang w:eastAsia="en-US"/>
        </w:rPr>
        <w:t>2. Проект</w:t>
      </w:r>
      <w:r w:rsidR="003B6120" w:rsidRPr="001508EF">
        <w:rPr>
          <w:rFonts w:eastAsiaTheme="minorHAnsi"/>
          <w:sz w:val="28"/>
          <w:szCs w:val="28"/>
          <w:lang w:eastAsia="en-US"/>
        </w:rPr>
        <w:t xml:space="preserve"> муниципальной программы </w:t>
      </w:r>
      <w:r w:rsidR="003B6120">
        <w:rPr>
          <w:rFonts w:eastAsiaTheme="minorHAnsi"/>
          <w:sz w:val="28"/>
          <w:szCs w:val="28"/>
          <w:lang w:eastAsia="en-US"/>
        </w:rPr>
        <w:t xml:space="preserve">не </w:t>
      </w:r>
      <w:r w:rsidR="003B6120" w:rsidRPr="001508EF">
        <w:rPr>
          <w:rFonts w:eastAsiaTheme="minorHAnsi"/>
          <w:sz w:val="28"/>
          <w:szCs w:val="28"/>
          <w:lang w:eastAsia="en-US"/>
        </w:rPr>
        <w:t xml:space="preserve">соответствует </w:t>
      </w:r>
      <w:r w:rsidR="003B6120">
        <w:rPr>
          <w:sz w:val="28"/>
          <w:szCs w:val="28"/>
        </w:rPr>
        <w:t>Поряд</w:t>
      </w:r>
      <w:r w:rsidR="003B6120" w:rsidRPr="001508EF">
        <w:rPr>
          <w:sz w:val="28"/>
          <w:szCs w:val="28"/>
        </w:rPr>
        <w:t>к</w:t>
      </w:r>
      <w:r w:rsidR="003B6120">
        <w:rPr>
          <w:sz w:val="28"/>
          <w:szCs w:val="28"/>
        </w:rPr>
        <w:t>у</w:t>
      </w:r>
      <w:r w:rsidR="00E3463D">
        <w:rPr>
          <w:rFonts w:eastAsia="Calibri"/>
          <w:sz w:val="28"/>
          <w:szCs w:val="28"/>
        </w:rPr>
        <w:t>, а также Модельной муниципальной программе</w:t>
      </w:r>
      <w:r w:rsidR="003B6120">
        <w:rPr>
          <w:sz w:val="28"/>
          <w:szCs w:val="28"/>
        </w:rPr>
        <w:t>, а именно:</w:t>
      </w:r>
    </w:p>
    <w:p w:rsidR="000C4BA0" w:rsidRPr="004A47C6" w:rsidRDefault="00D73979" w:rsidP="000C4BA0">
      <w:pPr>
        <w:widowControl w:val="0"/>
        <w:autoSpaceDE w:val="0"/>
        <w:autoSpaceDN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="003B6120">
        <w:rPr>
          <w:sz w:val="28"/>
          <w:szCs w:val="28"/>
        </w:rPr>
        <w:t>2.1</w:t>
      </w:r>
      <w:r w:rsidR="000C4BA0" w:rsidRPr="00F6487C">
        <w:rPr>
          <w:sz w:val="28"/>
          <w:szCs w:val="28"/>
        </w:rPr>
        <w:t xml:space="preserve">. В соответствии с пунктом 1.3 </w:t>
      </w:r>
      <w:r w:rsidR="00F6487C" w:rsidRPr="00F6487C">
        <w:rPr>
          <w:sz w:val="28"/>
          <w:szCs w:val="28"/>
        </w:rPr>
        <w:t>Порядка ф</w:t>
      </w:r>
      <w:r w:rsidR="000C4BA0" w:rsidRPr="00F6487C">
        <w:rPr>
          <w:sz w:val="28"/>
          <w:szCs w:val="28"/>
        </w:rPr>
        <w:t xml:space="preserve">ормирование муниципальных программ осуществляется, исходя </w:t>
      </w:r>
      <w:r w:rsidR="00F6487C">
        <w:rPr>
          <w:sz w:val="28"/>
          <w:szCs w:val="28"/>
        </w:rPr>
        <w:t xml:space="preserve">из </w:t>
      </w:r>
      <w:r w:rsidR="00F6487C" w:rsidRPr="00F6487C">
        <w:rPr>
          <w:sz w:val="28"/>
          <w:szCs w:val="28"/>
        </w:rPr>
        <w:t>принцип</w:t>
      </w:r>
      <w:r w:rsidR="00F6487C">
        <w:rPr>
          <w:sz w:val="28"/>
          <w:szCs w:val="28"/>
        </w:rPr>
        <w:t>а</w:t>
      </w:r>
      <w:r w:rsidR="00F6487C" w:rsidRPr="00F6487C">
        <w:rPr>
          <w:sz w:val="28"/>
          <w:szCs w:val="28"/>
        </w:rPr>
        <w:t xml:space="preserve"> измеряемости целей</w:t>
      </w:r>
      <w:r w:rsidR="00F6487C">
        <w:rPr>
          <w:sz w:val="28"/>
          <w:szCs w:val="28"/>
        </w:rPr>
        <w:t>, который</w:t>
      </w:r>
      <w:r w:rsidR="00F6487C" w:rsidRPr="00F6487C">
        <w:rPr>
          <w:sz w:val="28"/>
          <w:szCs w:val="28"/>
        </w:rPr>
        <w:t xml:space="preserve"> означает, что должна быть обеспечена возможность оценки достижения целей социально-экономического развития города </w:t>
      </w:r>
      <w:r w:rsidR="00F6487C" w:rsidRPr="004A47C6">
        <w:rPr>
          <w:sz w:val="28"/>
          <w:szCs w:val="28"/>
          <w:u w:val="single"/>
        </w:rPr>
        <w:t>с использованием количественных и (или) качественных целевых показателей, критериев и методов их оценки</w:t>
      </w:r>
      <w:r w:rsidR="00A64CA4" w:rsidRPr="004A47C6">
        <w:rPr>
          <w:sz w:val="28"/>
          <w:szCs w:val="28"/>
          <w:u w:val="single"/>
        </w:rPr>
        <w:t>.</w:t>
      </w:r>
    </w:p>
    <w:p w:rsidR="000C4BA0" w:rsidRPr="00EF0D30" w:rsidRDefault="00EF0D30" w:rsidP="000C4BA0">
      <w:pPr>
        <w:spacing w:line="0" w:lineRule="atLeas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Таблицей 4 «Характеристика основных мероприятий муниципальной программы, их связь с целевыми показателями» Модельной</w:t>
      </w:r>
      <w:r w:rsidR="006D3191"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>программы, предусмотрен</w:t>
      </w:r>
      <w:r w:rsidR="004A47C6">
        <w:rPr>
          <w:sz w:val="28"/>
          <w:szCs w:val="28"/>
        </w:rPr>
        <w:t xml:space="preserve">а графа </w:t>
      </w:r>
      <w:r>
        <w:rPr>
          <w:sz w:val="28"/>
          <w:szCs w:val="28"/>
        </w:rPr>
        <w:t xml:space="preserve">«Наименование целевого показателя», где указывается </w:t>
      </w:r>
      <w:r w:rsidRPr="00EF0D30">
        <w:rPr>
          <w:sz w:val="28"/>
          <w:szCs w:val="28"/>
          <w:u w:val="single"/>
        </w:rPr>
        <w:t>характеристика, методика расчёта или ссылка на форму федерального статистического наблюдения.</w:t>
      </w:r>
    </w:p>
    <w:p w:rsidR="00CB4622" w:rsidRDefault="004A47C6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«Наименование целевого показателя» таблицы 4 «Характеристика основных мероприятий муниципальной программы, их связь с целевыми показателями» проекта муниципа</w:t>
      </w:r>
      <w:r w:rsidR="00CB4622">
        <w:rPr>
          <w:sz w:val="28"/>
          <w:szCs w:val="28"/>
        </w:rPr>
        <w:t xml:space="preserve">льной программы не предусмотрена </w:t>
      </w:r>
      <w:r w:rsidR="00AA10B9">
        <w:rPr>
          <w:sz w:val="28"/>
          <w:szCs w:val="28"/>
        </w:rPr>
        <w:t>указанная информация,</w:t>
      </w:r>
      <w:r w:rsidR="00CB4622">
        <w:rPr>
          <w:sz w:val="28"/>
          <w:szCs w:val="28"/>
        </w:rPr>
        <w:t xml:space="preserve"> подлежащая</w:t>
      </w:r>
      <w:r w:rsidRPr="004A47C6">
        <w:rPr>
          <w:sz w:val="28"/>
          <w:szCs w:val="28"/>
        </w:rPr>
        <w:t xml:space="preserve"> использова</w:t>
      </w:r>
      <w:r w:rsidR="00CB4622">
        <w:rPr>
          <w:sz w:val="28"/>
          <w:szCs w:val="28"/>
        </w:rPr>
        <w:t>нию</w:t>
      </w:r>
      <w:r w:rsidRPr="004A47C6">
        <w:rPr>
          <w:sz w:val="28"/>
          <w:szCs w:val="28"/>
        </w:rPr>
        <w:t xml:space="preserve"> </w:t>
      </w:r>
      <w:r w:rsidR="00CB4622">
        <w:rPr>
          <w:sz w:val="28"/>
          <w:szCs w:val="28"/>
        </w:rPr>
        <w:t xml:space="preserve">для </w:t>
      </w:r>
      <w:r w:rsidRPr="004A47C6">
        <w:rPr>
          <w:sz w:val="28"/>
          <w:szCs w:val="28"/>
        </w:rPr>
        <w:t>оценки целевых показателей</w:t>
      </w:r>
      <w:r>
        <w:rPr>
          <w:sz w:val="28"/>
          <w:szCs w:val="28"/>
        </w:rPr>
        <w:t xml:space="preserve"> муниципальной программы</w:t>
      </w:r>
      <w:r w:rsidR="00CB4622">
        <w:rPr>
          <w:sz w:val="28"/>
          <w:szCs w:val="28"/>
        </w:rPr>
        <w:t>.</w:t>
      </w:r>
    </w:p>
    <w:p w:rsidR="000C1E2C" w:rsidRPr="004A47C6" w:rsidRDefault="000C1E2C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B4170F">
        <w:rPr>
          <w:sz w:val="28"/>
          <w:szCs w:val="28"/>
        </w:rPr>
        <w:t xml:space="preserve">не заполнена </w:t>
      </w:r>
      <w:r>
        <w:rPr>
          <w:sz w:val="28"/>
          <w:szCs w:val="28"/>
        </w:rPr>
        <w:t>граф</w:t>
      </w:r>
      <w:r w:rsidR="00B4170F">
        <w:rPr>
          <w:sz w:val="28"/>
          <w:szCs w:val="28"/>
        </w:rPr>
        <w:t>а</w:t>
      </w:r>
      <w:r>
        <w:rPr>
          <w:sz w:val="28"/>
          <w:szCs w:val="28"/>
        </w:rPr>
        <w:t xml:space="preserve"> «Номер приложения к муниципальной программе, реквизиты нормативного правового акта, наименование портфеля проектов (проекта)» </w:t>
      </w:r>
      <w:r w:rsidR="00B4170F">
        <w:rPr>
          <w:sz w:val="28"/>
          <w:szCs w:val="28"/>
        </w:rPr>
        <w:t>таблицы 4 «Характеристика основных мероприятий муниципальной программы, их связь с целевыми показателями» проекта муниципальной программы</w:t>
      </w:r>
      <w:r>
        <w:rPr>
          <w:sz w:val="28"/>
          <w:szCs w:val="28"/>
        </w:rPr>
        <w:t xml:space="preserve">.  </w:t>
      </w:r>
    </w:p>
    <w:p w:rsidR="003609DD" w:rsidRPr="003609DD" w:rsidRDefault="00D73979" w:rsidP="003609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97F7B">
        <w:rPr>
          <w:sz w:val="28"/>
          <w:szCs w:val="28"/>
        </w:rPr>
        <w:t>2</w:t>
      </w:r>
      <w:r w:rsidR="003B6120">
        <w:rPr>
          <w:sz w:val="28"/>
          <w:szCs w:val="28"/>
        </w:rPr>
        <w:t>.2</w:t>
      </w:r>
      <w:r w:rsidR="003609DD" w:rsidRPr="003609DD">
        <w:rPr>
          <w:sz w:val="28"/>
          <w:szCs w:val="28"/>
        </w:rPr>
        <w:t>. В соответствии с пунктом 1.3 Порядка формирование муниципальных программ осуществляется, исходя из принципа соответствия показателей целям, который означает, что показатели, содержащиеся в муниципальных программах и дополнительно вводимые при их корректировке, должны соответствовать достижению целей муниципальной программы.</w:t>
      </w:r>
    </w:p>
    <w:p w:rsidR="00032117" w:rsidRDefault="00AD508B" w:rsidP="000321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т</w:t>
      </w:r>
      <w:r w:rsidR="00032117" w:rsidRPr="00032117">
        <w:rPr>
          <w:sz w:val="28"/>
          <w:szCs w:val="28"/>
        </w:rPr>
        <w:t>аблице</w:t>
      </w:r>
      <w:r>
        <w:rPr>
          <w:sz w:val="28"/>
          <w:szCs w:val="28"/>
        </w:rPr>
        <w:t xml:space="preserve"> </w:t>
      </w:r>
      <w:r w:rsidR="00032117" w:rsidRPr="00032117">
        <w:rPr>
          <w:sz w:val="28"/>
          <w:szCs w:val="28"/>
        </w:rPr>
        <w:t>1 «Целевые показатели муниципальной программы</w:t>
      </w:r>
      <w:r w:rsidR="00C2232A" w:rsidRPr="00032117">
        <w:rPr>
          <w:sz w:val="28"/>
          <w:szCs w:val="28"/>
        </w:rPr>
        <w:t>»,</w:t>
      </w:r>
      <w:r w:rsidR="00032117" w:rsidRPr="00032117">
        <w:rPr>
          <w:sz w:val="28"/>
          <w:szCs w:val="28"/>
        </w:rPr>
        <w:t xml:space="preserve"> Модельной</w:t>
      </w:r>
      <w:r w:rsidR="006D3191">
        <w:rPr>
          <w:sz w:val="28"/>
          <w:szCs w:val="28"/>
        </w:rPr>
        <w:t xml:space="preserve"> муниципальной</w:t>
      </w:r>
      <w:r w:rsidR="00032117" w:rsidRPr="00032117">
        <w:rPr>
          <w:sz w:val="28"/>
          <w:szCs w:val="28"/>
        </w:rPr>
        <w:t xml:space="preserve"> программы целевые показатели муниципальной программы должны количественно характеризовать результат ее реализации, решение основных задач и достижение целей.</w:t>
      </w:r>
    </w:p>
    <w:p w:rsidR="002C4418" w:rsidRPr="00032117" w:rsidRDefault="002C4418" w:rsidP="002C4418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2C6499">
        <w:rPr>
          <w:sz w:val="28"/>
          <w:szCs w:val="28"/>
        </w:rPr>
        <w:t xml:space="preserve">Согласно пункту 1.2 Порядка муниципальная программа определена как документ стратегического планирования, содержащий комплекс мероприятий, взаимоувязанных по задачам, срокам осуществления, исполнителям и ресурсам и обеспечивающих </w:t>
      </w:r>
      <w:r w:rsidRPr="002C4418">
        <w:rPr>
          <w:sz w:val="28"/>
          <w:szCs w:val="28"/>
          <w:u w:val="single"/>
        </w:rPr>
        <w:t>наиболее эффективное достижение целей</w:t>
      </w:r>
      <w:r w:rsidRPr="002C6499">
        <w:rPr>
          <w:sz w:val="28"/>
          <w:szCs w:val="28"/>
        </w:rPr>
        <w:t xml:space="preserve"> и решение задач социально-экономического развития города Нефтеюганска.</w:t>
      </w:r>
    </w:p>
    <w:p w:rsidR="003609DD" w:rsidRDefault="003C3BEB" w:rsidP="003609D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проекта муниципальной программы является создание условий для увеличения экономического потенциала города.</w:t>
      </w:r>
    </w:p>
    <w:p w:rsidR="001D7A7F" w:rsidRPr="003705DE" w:rsidRDefault="00D73979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4F63CB">
        <w:rPr>
          <w:sz w:val="28"/>
          <w:szCs w:val="28"/>
        </w:rPr>
        <w:t>2.</w:t>
      </w:r>
      <w:r w:rsidR="003B6120">
        <w:rPr>
          <w:sz w:val="28"/>
          <w:szCs w:val="28"/>
        </w:rPr>
        <w:t>2.</w:t>
      </w:r>
      <w:r w:rsidR="004F63CB">
        <w:rPr>
          <w:sz w:val="28"/>
          <w:szCs w:val="28"/>
        </w:rPr>
        <w:t xml:space="preserve">1. </w:t>
      </w:r>
      <w:r w:rsidR="003C3BEB" w:rsidRPr="003705DE">
        <w:rPr>
          <w:sz w:val="28"/>
          <w:szCs w:val="28"/>
        </w:rPr>
        <w:t>На реализацию мероприятия «Государственная поддержка развития растениеводства и животноводства, переработки и реализации продукции»</w:t>
      </w:r>
      <w:r w:rsidR="003705DE">
        <w:rPr>
          <w:sz w:val="28"/>
          <w:szCs w:val="28"/>
        </w:rPr>
        <w:t xml:space="preserve"> проекта муниципальной программы</w:t>
      </w:r>
      <w:r w:rsidR="000D02AD">
        <w:rPr>
          <w:sz w:val="28"/>
          <w:szCs w:val="28"/>
        </w:rPr>
        <w:t xml:space="preserve"> на 2019-2030 годы</w:t>
      </w:r>
      <w:r w:rsidR="003C3BEB" w:rsidRPr="003705DE">
        <w:rPr>
          <w:sz w:val="28"/>
          <w:szCs w:val="28"/>
        </w:rPr>
        <w:t xml:space="preserve"> планируются средства бюджета автономного округа в общей сумме 339 480,000 тыс. рублей.</w:t>
      </w:r>
    </w:p>
    <w:p w:rsidR="001D7A7F" w:rsidRDefault="00B1610C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таблице 1 «Целевые показатели муниципальной программы» </w:t>
      </w:r>
      <w:r w:rsidR="003705DE">
        <w:rPr>
          <w:sz w:val="28"/>
          <w:szCs w:val="28"/>
        </w:rPr>
        <w:t xml:space="preserve">показатель на момент </w:t>
      </w:r>
      <w:r w:rsidR="003705DE" w:rsidRPr="00111D6E">
        <w:rPr>
          <w:sz w:val="28"/>
          <w:szCs w:val="28"/>
          <w:u w:val="single"/>
        </w:rPr>
        <w:t>окончания</w:t>
      </w:r>
      <w:r w:rsidR="003705DE">
        <w:rPr>
          <w:sz w:val="28"/>
          <w:szCs w:val="28"/>
        </w:rPr>
        <w:t xml:space="preserve"> реализации муниципальной программы соответствует </w:t>
      </w:r>
      <w:r>
        <w:rPr>
          <w:sz w:val="28"/>
          <w:szCs w:val="28"/>
        </w:rPr>
        <w:t>базов</w:t>
      </w:r>
      <w:r w:rsidR="003705DE">
        <w:rPr>
          <w:sz w:val="28"/>
          <w:szCs w:val="28"/>
        </w:rPr>
        <w:t>ому</w:t>
      </w:r>
      <w:r>
        <w:rPr>
          <w:sz w:val="28"/>
          <w:szCs w:val="28"/>
        </w:rPr>
        <w:t xml:space="preserve"> показател</w:t>
      </w:r>
      <w:r w:rsidR="003705DE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111D6E">
        <w:rPr>
          <w:sz w:val="28"/>
          <w:szCs w:val="28"/>
          <w:u w:val="single"/>
        </w:rPr>
        <w:t>на начало</w:t>
      </w:r>
      <w:r>
        <w:rPr>
          <w:sz w:val="28"/>
          <w:szCs w:val="28"/>
        </w:rPr>
        <w:t xml:space="preserve"> реа</w:t>
      </w:r>
      <w:r w:rsidR="003705DE">
        <w:rPr>
          <w:sz w:val="28"/>
          <w:szCs w:val="28"/>
        </w:rPr>
        <w:t>лизации муниципальной пр</w:t>
      </w:r>
      <w:r w:rsidR="00562190">
        <w:rPr>
          <w:sz w:val="28"/>
          <w:szCs w:val="28"/>
        </w:rPr>
        <w:t>ограммы.</w:t>
      </w:r>
    </w:p>
    <w:p w:rsidR="00CF58AE" w:rsidRDefault="00CF58AE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планируемые бюджетные расходы на реализацию мероприятия муниципальной программы не окажут положительного влияния на динамику развития указанной отрасли деятельности.</w:t>
      </w:r>
    </w:p>
    <w:p w:rsidR="002C6499" w:rsidRDefault="00AD508B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о</w:t>
      </w:r>
      <w:r w:rsidR="00C16995">
        <w:rPr>
          <w:sz w:val="28"/>
          <w:szCs w:val="28"/>
        </w:rPr>
        <w:t>ценить результативность бюджетных расходов н</w:t>
      </w:r>
      <w:r w:rsidR="00C16995" w:rsidRPr="003705DE">
        <w:rPr>
          <w:sz w:val="28"/>
          <w:szCs w:val="28"/>
        </w:rPr>
        <w:t>а реализацию мероприятия «Государственная поддержка развития растениеводства и животноводства, переработки и реализации продукции»</w:t>
      </w:r>
      <w:r w:rsidR="00111D6E">
        <w:rPr>
          <w:sz w:val="28"/>
          <w:szCs w:val="28"/>
        </w:rPr>
        <w:t>, в части достижения наилучшего результата с использованием определённых проектом муниципальной программы средств.</w:t>
      </w:r>
    </w:p>
    <w:p w:rsidR="004F63CB" w:rsidRDefault="00D73979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F63CB">
        <w:rPr>
          <w:sz w:val="28"/>
          <w:szCs w:val="28"/>
        </w:rPr>
        <w:t>2.</w:t>
      </w:r>
      <w:r w:rsidR="003B6120">
        <w:rPr>
          <w:sz w:val="28"/>
          <w:szCs w:val="28"/>
        </w:rPr>
        <w:t>2.</w:t>
      </w:r>
      <w:r w:rsidR="004F63CB">
        <w:rPr>
          <w:sz w:val="28"/>
          <w:szCs w:val="28"/>
        </w:rPr>
        <w:t>2. По мероприятию «Обеспечение исполнения функций администрации» предусмотрены следующие целевые показатели:</w:t>
      </w:r>
    </w:p>
    <w:p w:rsidR="004F63CB" w:rsidRDefault="00C22FA5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процент выполнения контрольных мероприятий к общему количеству запланированных мероприятий </w:t>
      </w:r>
      <w:r w:rsidR="004635B3">
        <w:rPr>
          <w:sz w:val="28"/>
          <w:szCs w:val="28"/>
        </w:rPr>
        <w:t>в размере 100%;</w:t>
      </w:r>
    </w:p>
    <w:p w:rsidR="004635B3" w:rsidRDefault="004635B3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</w:t>
      </w:r>
      <w:r w:rsidR="005405AA">
        <w:rPr>
          <w:sz w:val="28"/>
          <w:szCs w:val="28"/>
        </w:rPr>
        <w:t>олнение рекомендаций контрольных</w:t>
      </w:r>
      <w:r>
        <w:rPr>
          <w:sz w:val="28"/>
          <w:szCs w:val="28"/>
        </w:rPr>
        <w:t xml:space="preserve"> мероприятий при дальнейшем исполнении бюджета (да/нет).</w:t>
      </w:r>
    </w:p>
    <w:p w:rsidR="00234477" w:rsidRDefault="00C042A0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целевые показатели не характеризуют результаты реализации мероприятия</w:t>
      </w:r>
      <w:r w:rsidR="00E016AF" w:rsidRPr="00E016AF">
        <w:rPr>
          <w:sz w:val="28"/>
          <w:szCs w:val="28"/>
        </w:rPr>
        <w:t xml:space="preserve"> </w:t>
      </w:r>
      <w:r w:rsidR="00E016AF">
        <w:rPr>
          <w:sz w:val="28"/>
          <w:szCs w:val="28"/>
        </w:rPr>
        <w:t>«Обеспечение исполнения функций администрации»</w:t>
      </w:r>
      <w:r>
        <w:rPr>
          <w:sz w:val="28"/>
          <w:szCs w:val="28"/>
        </w:rPr>
        <w:t>, а также достижение цели муниципальной программы.</w:t>
      </w:r>
    </w:p>
    <w:p w:rsidR="00234477" w:rsidRDefault="00E016AF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индикатор целевого показателя «исполнение рекомендаций контрольных мероприятий при дальнейшем исполнении бюджета»</w:t>
      </w:r>
      <w:r w:rsidRPr="00E016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определён «да/нет», </w:t>
      </w:r>
      <w:r w:rsidR="00676777">
        <w:rPr>
          <w:sz w:val="28"/>
          <w:szCs w:val="28"/>
        </w:rPr>
        <w:t xml:space="preserve">который </w:t>
      </w:r>
      <w:r>
        <w:rPr>
          <w:sz w:val="28"/>
          <w:szCs w:val="28"/>
        </w:rPr>
        <w:t xml:space="preserve">не </w:t>
      </w:r>
      <w:r w:rsidRPr="00032117">
        <w:rPr>
          <w:sz w:val="28"/>
          <w:szCs w:val="28"/>
        </w:rPr>
        <w:t>характериз</w:t>
      </w:r>
      <w:r>
        <w:rPr>
          <w:sz w:val="28"/>
          <w:szCs w:val="28"/>
        </w:rPr>
        <w:t>ует</w:t>
      </w:r>
      <w:r w:rsidR="00676777">
        <w:rPr>
          <w:sz w:val="28"/>
          <w:szCs w:val="28"/>
        </w:rPr>
        <w:t xml:space="preserve"> количественный или </w:t>
      </w:r>
      <w:r w:rsidR="00AA10B9">
        <w:rPr>
          <w:sz w:val="28"/>
          <w:szCs w:val="28"/>
        </w:rPr>
        <w:t>качественный результат</w:t>
      </w:r>
      <w:r w:rsidR="00676777">
        <w:rPr>
          <w:sz w:val="28"/>
          <w:szCs w:val="28"/>
        </w:rPr>
        <w:t xml:space="preserve"> </w:t>
      </w:r>
      <w:r w:rsidRPr="00032117">
        <w:rPr>
          <w:sz w:val="28"/>
          <w:szCs w:val="28"/>
        </w:rPr>
        <w:t>реализации</w:t>
      </w:r>
      <w:r w:rsidR="00676777">
        <w:rPr>
          <w:sz w:val="28"/>
          <w:szCs w:val="28"/>
        </w:rPr>
        <w:t xml:space="preserve"> муниципальной программы.</w:t>
      </w:r>
    </w:p>
    <w:p w:rsidR="00197F7B" w:rsidRDefault="00D73979" w:rsidP="00197F7B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6120">
        <w:rPr>
          <w:sz w:val="28"/>
          <w:szCs w:val="28"/>
        </w:rPr>
        <w:t>2.</w:t>
      </w:r>
      <w:r w:rsidR="001901DC">
        <w:rPr>
          <w:sz w:val="28"/>
          <w:szCs w:val="28"/>
        </w:rPr>
        <w:t>3</w:t>
      </w:r>
      <w:r w:rsidR="00197F7B">
        <w:rPr>
          <w:sz w:val="28"/>
          <w:szCs w:val="28"/>
        </w:rPr>
        <w:t>. В пунктах 1.1, 1.2, 1.3</w:t>
      </w:r>
      <w:r w:rsidR="00B26ACA">
        <w:rPr>
          <w:sz w:val="28"/>
          <w:szCs w:val="28"/>
        </w:rPr>
        <w:t>, 2.2</w:t>
      </w:r>
      <w:r w:rsidR="00197F7B">
        <w:rPr>
          <w:sz w:val="28"/>
          <w:szCs w:val="28"/>
        </w:rPr>
        <w:t xml:space="preserve"> графы «Основные мероприятия муниципальной программы (их связь с целевыми показателями муниципальной программы)» таблицы 2 «Перечень основных мероприятий муниципальной программы» </w:t>
      </w:r>
      <w:r w:rsidR="0073472B">
        <w:rPr>
          <w:sz w:val="28"/>
          <w:szCs w:val="28"/>
        </w:rPr>
        <w:t xml:space="preserve">проекта муниципальной программы </w:t>
      </w:r>
      <w:r w:rsidR="00197F7B">
        <w:rPr>
          <w:sz w:val="28"/>
          <w:szCs w:val="28"/>
        </w:rPr>
        <w:t>не предусмотрена связь мероприятий с целевыми показателями.</w:t>
      </w:r>
    </w:p>
    <w:p w:rsidR="00197F7B" w:rsidRDefault="00D73979" w:rsidP="00197F7B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6120">
        <w:rPr>
          <w:sz w:val="28"/>
          <w:szCs w:val="28"/>
        </w:rPr>
        <w:t>2.</w:t>
      </w:r>
      <w:r w:rsidR="001901DC">
        <w:rPr>
          <w:sz w:val="28"/>
          <w:szCs w:val="28"/>
        </w:rPr>
        <w:t>4</w:t>
      </w:r>
      <w:r w:rsidR="00197F7B">
        <w:rPr>
          <w:sz w:val="28"/>
          <w:szCs w:val="28"/>
        </w:rPr>
        <w:t>. В пунктах 2.3, 5.1</w:t>
      </w:r>
      <w:r w:rsidR="00197F7B" w:rsidRPr="00F85CBD">
        <w:rPr>
          <w:sz w:val="28"/>
          <w:szCs w:val="28"/>
        </w:rPr>
        <w:t xml:space="preserve"> </w:t>
      </w:r>
      <w:r w:rsidR="00197F7B">
        <w:rPr>
          <w:sz w:val="28"/>
          <w:szCs w:val="28"/>
        </w:rPr>
        <w:t xml:space="preserve">графы «Содержание (направления расходов)» таблицы 4 «Характеристика основных мероприятий муниципальной программы, их связь с целевыми показателями» проекта муниципальной программы не предусмотрены направления расходов на развитие </w:t>
      </w:r>
      <w:r w:rsidR="00AA10B9">
        <w:rPr>
          <w:sz w:val="28"/>
          <w:szCs w:val="28"/>
        </w:rPr>
        <w:t>животноводства, обеспечение</w:t>
      </w:r>
      <w:r w:rsidR="00197F7B">
        <w:rPr>
          <w:sz w:val="28"/>
          <w:szCs w:val="28"/>
        </w:rPr>
        <w:t xml:space="preserve"> деятельности АУ «НИЦ».</w:t>
      </w:r>
    </w:p>
    <w:p w:rsidR="00C16995" w:rsidRDefault="00D73979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6120">
        <w:rPr>
          <w:sz w:val="28"/>
          <w:szCs w:val="28"/>
        </w:rPr>
        <w:t>2.</w:t>
      </w:r>
      <w:r w:rsidR="00D10931">
        <w:rPr>
          <w:sz w:val="28"/>
          <w:szCs w:val="28"/>
        </w:rPr>
        <w:t>5. Раздел</w:t>
      </w:r>
      <w:r w:rsidR="00B72864">
        <w:rPr>
          <w:sz w:val="28"/>
          <w:szCs w:val="28"/>
        </w:rPr>
        <w:t>ом</w:t>
      </w:r>
      <w:r w:rsidR="00D10931">
        <w:rPr>
          <w:sz w:val="28"/>
          <w:szCs w:val="28"/>
        </w:rPr>
        <w:t xml:space="preserve"> 2 «Механизм реализации муниципальной программы»</w:t>
      </w:r>
      <w:r w:rsidR="00B72864">
        <w:rPr>
          <w:sz w:val="28"/>
          <w:szCs w:val="28"/>
        </w:rPr>
        <w:t xml:space="preserve"> проекта муниципальной программы</w:t>
      </w:r>
      <w:r w:rsidR="00D10931">
        <w:rPr>
          <w:sz w:val="28"/>
          <w:szCs w:val="28"/>
        </w:rPr>
        <w:t xml:space="preserve"> не предусмотрена информация, установленная Модельной</w:t>
      </w:r>
      <w:r w:rsidR="00D10931" w:rsidRPr="002D2459">
        <w:rPr>
          <w:sz w:val="28"/>
          <w:szCs w:val="28"/>
        </w:rPr>
        <w:t xml:space="preserve"> муниципальн</w:t>
      </w:r>
      <w:r w:rsidR="00D10931">
        <w:rPr>
          <w:sz w:val="28"/>
          <w:szCs w:val="28"/>
        </w:rPr>
        <w:t>ой</w:t>
      </w:r>
      <w:r w:rsidR="00D10931" w:rsidRPr="002D2459">
        <w:rPr>
          <w:sz w:val="28"/>
          <w:szCs w:val="28"/>
        </w:rPr>
        <w:t xml:space="preserve"> программ</w:t>
      </w:r>
      <w:r w:rsidR="00D10931">
        <w:rPr>
          <w:sz w:val="28"/>
          <w:szCs w:val="28"/>
        </w:rPr>
        <w:t>ой</w:t>
      </w:r>
      <w:r w:rsidR="00B72864">
        <w:rPr>
          <w:sz w:val="28"/>
          <w:szCs w:val="28"/>
        </w:rPr>
        <w:t xml:space="preserve">, а именно </w:t>
      </w:r>
      <w:r w:rsidR="004F6EC5">
        <w:rPr>
          <w:sz w:val="28"/>
          <w:szCs w:val="28"/>
        </w:rPr>
        <w:t xml:space="preserve">оценка </w:t>
      </w:r>
      <w:r w:rsidR="004F6EC5">
        <w:rPr>
          <w:sz w:val="28"/>
          <w:szCs w:val="28"/>
        </w:rPr>
        <w:lastRenderedPageBreak/>
        <w:t>внешних условий и рисков, связанных с её реализацией, механизм внедрения и применения технологий бережливого производства.</w:t>
      </w:r>
    </w:p>
    <w:p w:rsidR="00B11B08" w:rsidRDefault="00D73979" w:rsidP="00EA57B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B6120">
        <w:rPr>
          <w:sz w:val="28"/>
          <w:szCs w:val="28"/>
        </w:rPr>
        <w:t>2.</w:t>
      </w:r>
      <w:r w:rsidR="004F63CB">
        <w:rPr>
          <w:sz w:val="28"/>
          <w:szCs w:val="28"/>
        </w:rPr>
        <w:t xml:space="preserve">6. </w:t>
      </w:r>
      <w:r w:rsidR="00806CA1">
        <w:rPr>
          <w:sz w:val="28"/>
          <w:szCs w:val="28"/>
        </w:rPr>
        <w:t>Таблицей 3 «Портфели проектов и проекты, направленные в том числе на реализацию национальных и федеральных проектов Российской Федерации» проекта муниципальной программы предусмотрен</w:t>
      </w:r>
      <w:r w:rsidR="00A4072D">
        <w:rPr>
          <w:sz w:val="28"/>
          <w:szCs w:val="28"/>
        </w:rPr>
        <w:t>о следующее</w:t>
      </w:r>
      <w:r w:rsidR="00B11B08">
        <w:rPr>
          <w:sz w:val="28"/>
          <w:szCs w:val="28"/>
        </w:rPr>
        <w:t>:</w:t>
      </w:r>
    </w:p>
    <w:p w:rsidR="00FA0218" w:rsidRDefault="00B11B08" w:rsidP="00A407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6CA1">
        <w:rPr>
          <w:sz w:val="28"/>
          <w:szCs w:val="28"/>
        </w:rPr>
        <w:t xml:space="preserve"> портфель «Система мер по стимулированию развития малого и среднего предпринимательства»</w:t>
      </w:r>
      <w:r w:rsidR="002F3052">
        <w:rPr>
          <w:sz w:val="28"/>
          <w:szCs w:val="28"/>
        </w:rPr>
        <w:t>. П</w:t>
      </w:r>
      <w:r w:rsidR="00806CA1">
        <w:rPr>
          <w:sz w:val="28"/>
          <w:szCs w:val="28"/>
        </w:rPr>
        <w:t>ри этом</w:t>
      </w:r>
      <w:r w:rsidR="00A4072D">
        <w:rPr>
          <w:sz w:val="28"/>
          <w:szCs w:val="28"/>
        </w:rPr>
        <w:t xml:space="preserve"> </w:t>
      </w:r>
      <w:r w:rsidR="00806CA1">
        <w:rPr>
          <w:sz w:val="28"/>
          <w:szCs w:val="28"/>
        </w:rPr>
        <w:t>отсутствует объём ф</w:t>
      </w:r>
      <w:r>
        <w:rPr>
          <w:sz w:val="28"/>
          <w:szCs w:val="28"/>
        </w:rPr>
        <w:t>инансирования на его реализацию</w:t>
      </w:r>
      <w:r w:rsidR="00A4072D">
        <w:rPr>
          <w:sz w:val="28"/>
          <w:szCs w:val="28"/>
        </w:rPr>
        <w:t xml:space="preserve">. Вместе с тем, </w:t>
      </w:r>
      <w:r w:rsidR="002D29A8">
        <w:rPr>
          <w:sz w:val="28"/>
          <w:szCs w:val="28"/>
        </w:rPr>
        <w:t>проектом муниципальной программ</w:t>
      </w:r>
      <w:r w:rsidR="002F3052">
        <w:rPr>
          <w:sz w:val="28"/>
          <w:szCs w:val="28"/>
        </w:rPr>
        <w:t>ы</w:t>
      </w:r>
      <w:r w:rsidR="002D29A8">
        <w:rPr>
          <w:sz w:val="28"/>
          <w:szCs w:val="28"/>
        </w:rPr>
        <w:t xml:space="preserve"> предусмотрен</w:t>
      </w:r>
      <w:r w:rsidR="00FA0218">
        <w:rPr>
          <w:sz w:val="28"/>
          <w:szCs w:val="28"/>
        </w:rPr>
        <w:t>ы бюджетные ассигнования на реализацию</w:t>
      </w:r>
      <w:r w:rsidR="002D29A8">
        <w:rPr>
          <w:sz w:val="28"/>
          <w:szCs w:val="28"/>
        </w:rPr>
        <w:t xml:space="preserve"> мероприяти</w:t>
      </w:r>
      <w:r w:rsidR="00FA0218">
        <w:rPr>
          <w:sz w:val="28"/>
          <w:szCs w:val="28"/>
        </w:rPr>
        <w:t>й в целях</w:t>
      </w:r>
      <w:r w:rsidR="002D29A8">
        <w:rPr>
          <w:sz w:val="28"/>
          <w:szCs w:val="28"/>
        </w:rPr>
        <w:t xml:space="preserve"> развити</w:t>
      </w:r>
      <w:r w:rsidR="00FA0218">
        <w:rPr>
          <w:sz w:val="28"/>
          <w:szCs w:val="28"/>
        </w:rPr>
        <w:t>я</w:t>
      </w:r>
      <w:r w:rsidR="002D29A8">
        <w:rPr>
          <w:sz w:val="28"/>
          <w:szCs w:val="28"/>
        </w:rPr>
        <w:t xml:space="preserve"> малого и среднего предпринимательства</w:t>
      </w:r>
      <w:r>
        <w:rPr>
          <w:sz w:val="28"/>
          <w:szCs w:val="28"/>
        </w:rPr>
        <w:t>;</w:t>
      </w:r>
    </w:p>
    <w:p w:rsidR="00A4072D" w:rsidRDefault="00B11B08" w:rsidP="00EA57B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в графе </w:t>
      </w:r>
      <w:r w:rsidR="00A4072D">
        <w:rPr>
          <w:sz w:val="28"/>
          <w:szCs w:val="28"/>
        </w:rPr>
        <w:t xml:space="preserve">«Наименование проекта или мероприятия» отражена </w:t>
      </w:r>
      <w:r w:rsidR="00AA10B9">
        <w:rPr>
          <w:sz w:val="28"/>
          <w:szCs w:val="28"/>
        </w:rPr>
        <w:t>информация,</w:t>
      </w:r>
      <w:r w:rsidR="00A4072D">
        <w:rPr>
          <w:sz w:val="28"/>
          <w:szCs w:val="28"/>
        </w:rPr>
        <w:t xml:space="preserve"> не соответствующая номеру показателя из таблицы 1 проекта муниципальной программы;</w:t>
      </w:r>
    </w:p>
    <w:p w:rsidR="00B11B08" w:rsidRDefault="00A4072D" w:rsidP="00C11A22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C11A22">
        <w:rPr>
          <w:sz w:val="28"/>
          <w:szCs w:val="28"/>
        </w:rPr>
        <w:t>в графе «Ответственный исполнитель» Каширина Ольга Валерьевна – начальник управления развития предпринимательства Департамента экономического развития Ханты-Мансийского автономного округа-Югры. Вместе с тем, в контексте проекта муниципальной программы ответственным исполнителем является администрация города Нефтеюганска.</w:t>
      </w:r>
    </w:p>
    <w:p w:rsidR="00F028BD" w:rsidRPr="00CF6877" w:rsidRDefault="00676777" w:rsidP="003B61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выше недостатки в разработке муниципальной программы существенно затрудн</w:t>
      </w:r>
      <w:r w:rsidR="00F028BD">
        <w:rPr>
          <w:sz w:val="28"/>
          <w:szCs w:val="28"/>
        </w:rPr>
        <w:t>я</w:t>
      </w:r>
      <w:r>
        <w:rPr>
          <w:sz w:val="28"/>
          <w:szCs w:val="28"/>
        </w:rPr>
        <w:t>т проведение объективного анализа её реализации</w:t>
      </w:r>
      <w:r w:rsidR="002F3052">
        <w:rPr>
          <w:sz w:val="28"/>
          <w:szCs w:val="28"/>
        </w:rPr>
        <w:t xml:space="preserve"> в связи с чем, р</w:t>
      </w:r>
      <w:r w:rsidR="002E26B0" w:rsidRPr="00CF6877">
        <w:rPr>
          <w:sz w:val="28"/>
          <w:szCs w:val="28"/>
        </w:rPr>
        <w:t xml:space="preserve">екомендуем проект муниципальной программы, привести в соответствие </w:t>
      </w:r>
      <w:r w:rsidR="00B11B08" w:rsidRPr="00CF6877">
        <w:rPr>
          <w:sz w:val="28"/>
          <w:szCs w:val="28"/>
        </w:rPr>
        <w:t>нормам</w:t>
      </w:r>
      <w:r w:rsidR="002E26B0" w:rsidRPr="00CF6877">
        <w:rPr>
          <w:sz w:val="28"/>
          <w:szCs w:val="28"/>
        </w:rPr>
        <w:t xml:space="preserve"> Порядк</w:t>
      </w:r>
      <w:r w:rsidR="00B11B08" w:rsidRPr="00CF6877">
        <w:rPr>
          <w:sz w:val="28"/>
          <w:szCs w:val="28"/>
        </w:rPr>
        <w:t>а</w:t>
      </w:r>
      <w:r w:rsidR="002E26B0" w:rsidRPr="00CF6877">
        <w:rPr>
          <w:sz w:val="28"/>
          <w:szCs w:val="28"/>
        </w:rPr>
        <w:t>, а также Модельной муниципальной программе.</w:t>
      </w:r>
    </w:p>
    <w:p w:rsidR="004C26F0" w:rsidRPr="00354483" w:rsidRDefault="00B11B08" w:rsidP="00B11B08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6F0" w:rsidRPr="00354483">
        <w:rPr>
          <w:sz w:val="28"/>
          <w:szCs w:val="28"/>
        </w:rPr>
        <w:t xml:space="preserve">На основании вышеизложенного, по итогам проведения экспертизы, предлагаем направить </w:t>
      </w:r>
      <w:r w:rsidR="004C26F0">
        <w:rPr>
          <w:sz w:val="28"/>
          <w:szCs w:val="28"/>
        </w:rPr>
        <w:t xml:space="preserve">Проект муниципальной программы </w:t>
      </w:r>
      <w:r w:rsidR="004C26F0" w:rsidRPr="00354483">
        <w:rPr>
          <w:sz w:val="28"/>
          <w:szCs w:val="28"/>
        </w:rPr>
        <w:t>на утверждение с учётом рекомендаци</w:t>
      </w:r>
      <w:r w:rsidR="004C26F0">
        <w:rPr>
          <w:sz w:val="28"/>
          <w:szCs w:val="28"/>
        </w:rPr>
        <w:t>й, отражё</w:t>
      </w:r>
      <w:r w:rsidR="004C26F0" w:rsidRPr="00354483">
        <w:rPr>
          <w:sz w:val="28"/>
          <w:szCs w:val="28"/>
        </w:rPr>
        <w:t>нн</w:t>
      </w:r>
      <w:r w:rsidR="004C26F0">
        <w:rPr>
          <w:sz w:val="28"/>
          <w:szCs w:val="28"/>
        </w:rPr>
        <w:t>ых</w:t>
      </w:r>
      <w:r w:rsidR="004C26F0" w:rsidRPr="00354483">
        <w:rPr>
          <w:sz w:val="28"/>
          <w:szCs w:val="28"/>
        </w:rPr>
        <w:t xml:space="preserve"> в настоящем заключении. </w:t>
      </w:r>
    </w:p>
    <w:p w:rsidR="004C26F0" w:rsidRPr="00752136" w:rsidRDefault="004C26F0" w:rsidP="004C26F0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>
        <w:rPr>
          <w:sz w:val="28"/>
          <w:szCs w:val="28"/>
          <w:shd w:val="clear" w:color="auto" w:fill="FFFFFF"/>
        </w:rPr>
        <w:t>06.11.2018</w:t>
      </w:r>
      <w:r w:rsidRPr="00354483">
        <w:rPr>
          <w:sz w:val="28"/>
          <w:szCs w:val="28"/>
          <w:shd w:val="clear" w:color="auto" w:fill="FFFFFF"/>
        </w:rPr>
        <w:t xml:space="preserve"> года.</w:t>
      </w: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E79" w:rsidRDefault="00BE1E79" w:rsidP="00C22BF1">
      <w:pPr>
        <w:spacing w:line="0" w:lineRule="atLeast"/>
        <w:jc w:val="both"/>
        <w:rPr>
          <w:sz w:val="28"/>
          <w:szCs w:val="28"/>
        </w:rPr>
      </w:pPr>
    </w:p>
    <w:p w:rsidR="00DB544C" w:rsidRDefault="00DB544C" w:rsidP="00EE72B9">
      <w:pPr>
        <w:spacing w:line="0" w:lineRule="atLeast"/>
        <w:jc w:val="both"/>
        <w:rPr>
          <w:sz w:val="28"/>
          <w:szCs w:val="28"/>
        </w:rPr>
      </w:pPr>
    </w:p>
    <w:p w:rsidR="0097596B" w:rsidRDefault="00BF6220" w:rsidP="00AA10B9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4248AA">
        <w:rPr>
          <w:sz w:val="28"/>
          <w:szCs w:val="28"/>
        </w:rPr>
        <w:t>С.А. Гичкина</w:t>
      </w: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E1E79" w:rsidRDefault="00BE1E7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93F3E" w:rsidRDefault="00E93F3E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D579B" w:rsidRDefault="00AD57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D579B" w:rsidRDefault="00AD57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C22BF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2C24A8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2C24A8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E03710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A83BCD">
        <w:rPr>
          <w:sz w:val="20"/>
          <w:szCs w:val="20"/>
        </w:rPr>
        <w:t>03948</w:t>
      </w:r>
    </w:p>
    <w:sectPr w:rsidR="00E03710" w:rsidSect="00DB544C">
      <w:headerReference w:type="default" r:id="rId12"/>
      <w:pgSz w:w="11906" w:h="16838"/>
      <w:pgMar w:top="1134" w:right="707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77" w:rsidRDefault="00001977" w:rsidP="00E675E9">
      <w:r>
        <w:separator/>
      </w:r>
    </w:p>
  </w:endnote>
  <w:endnote w:type="continuationSeparator" w:id="0">
    <w:p w:rsidR="00001977" w:rsidRDefault="0000197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77" w:rsidRDefault="00001977" w:rsidP="00E675E9">
      <w:r>
        <w:separator/>
      </w:r>
    </w:p>
  </w:footnote>
  <w:footnote w:type="continuationSeparator" w:id="0">
    <w:p w:rsidR="00001977" w:rsidRDefault="0000197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67D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1977"/>
    <w:rsid w:val="00002A84"/>
    <w:rsid w:val="00004C83"/>
    <w:rsid w:val="00010145"/>
    <w:rsid w:val="00014AD1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509E0"/>
    <w:rsid w:val="00051744"/>
    <w:rsid w:val="00052A11"/>
    <w:rsid w:val="00052D4E"/>
    <w:rsid w:val="000531C3"/>
    <w:rsid w:val="000628CA"/>
    <w:rsid w:val="00064498"/>
    <w:rsid w:val="00067030"/>
    <w:rsid w:val="00074E19"/>
    <w:rsid w:val="00076D87"/>
    <w:rsid w:val="00080480"/>
    <w:rsid w:val="00083B56"/>
    <w:rsid w:val="00094868"/>
    <w:rsid w:val="0009792F"/>
    <w:rsid w:val="000A0882"/>
    <w:rsid w:val="000A1DA8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D02AD"/>
    <w:rsid w:val="000D4153"/>
    <w:rsid w:val="000D6094"/>
    <w:rsid w:val="000D79D3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20B40"/>
    <w:rsid w:val="00221D30"/>
    <w:rsid w:val="00230041"/>
    <w:rsid w:val="00234274"/>
    <w:rsid w:val="00234477"/>
    <w:rsid w:val="00236F07"/>
    <w:rsid w:val="0023790D"/>
    <w:rsid w:val="00243159"/>
    <w:rsid w:val="00245A7E"/>
    <w:rsid w:val="00250CCD"/>
    <w:rsid w:val="00254004"/>
    <w:rsid w:val="002549D2"/>
    <w:rsid w:val="002556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A20A8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267D2"/>
    <w:rsid w:val="003303F3"/>
    <w:rsid w:val="003306C6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705DE"/>
    <w:rsid w:val="00370DE5"/>
    <w:rsid w:val="00371952"/>
    <w:rsid w:val="00372253"/>
    <w:rsid w:val="00373B46"/>
    <w:rsid w:val="0037421A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2A77"/>
    <w:rsid w:val="003A2EB9"/>
    <w:rsid w:val="003A3192"/>
    <w:rsid w:val="003A34B1"/>
    <w:rsid w:val="003A3651"/>
    <w:rsid w:val="003A37BF"/>
    <w:rsid w:val="003A3DF7"/>
    <w:rsid w:val="003A52FA"/>
    <w:rsid w:val="003A6DF2"/>
    <w:rsid w:val="003A7782"/>
    <w:rsid w:val="003B187D"/>
    <w:rsid w:val="003B2088"/>
    <w:rsid w:val="003B6120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3777"/>
    <w:rsid w:val="003F3DA8"/>
    <w:rsid w:val="003F6A41"/>
    <w:rsid w:val="003F6BDD"/>
    <w:rsid w:val="003F764B"/>
    <w:rsid w:val="00400540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589E"/>
    <w:rsid w:val="005665D5"/>
    <w:rsid w:val="0057145C"/>
    <w:rsid w:val="0057570E"/>
    <w:rsid w:val="00576A59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5E24"/>
    <w:rsid w:val="0062748E"/>
    <w:rsid w:val="0063054C"/>
    <w:rsid w:val="00634E35"/>
    <w:rsid w:val="00635F99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42EF"/>
    <w:rsid w:val="00695060"/>
    <w:rsid w:val="00695823"/>
    <w:rsid w:val="00695F0D"/>
    <w:rsid w:val="006A5F1B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AA"/>
    <w:rsid w:val="006D2E68"/>
    <w:rsid w:val="006D3191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3E3B"/>
    <w:rsid w:val="006F79ED"/>
    <w:rsid w:val="00703BAD"/>
    <w:rsid w:val="00704A45"/>
    <w:rsid w:val="007058A0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472B"/>
    <w:rsid w:val="00736935"/>
    <w:rsid w:val="00737C08"/>
    <w:rsid w:val="007426F7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39F0"/>
    <w:rsid w:val="007A6C67"/>
    <w:rsid w:val="007A75F7"/>
    <w:rsid w:val="007B39E1"/>
    <w:rsid w:val="007C07B0"/>
    <w:rsid w:val="007C391B"/>
    <w:rsid w:val="007C473B"/>
    <w:rsid w:val="007C6BA5"/>
    <w:rsid w:val="007C70BA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307A4"/>
    <w:rsid w:val="00830951"/>
    <w:rsid w:val="00835C78"/>
    <w:rsid w:val="008367F3"/>
    <w:rsid w:val="00837B9A"/>
    <w:rsid w:val="00840803"/>
    <w:rsid w:val="00840C31"/>
    <w:rsid w:val="00844403"/>
    <w:rsid w:val="00846E75"/>
    <w:rsid w:val="0085132E"/>
    <w:rsid w:val="00851D85"/>
    <w:rsid w:val="00854804"/>
    <w:rsid w:val="0085537B"/>
    <w:rsid w:val="00855E6E"/>
    <w:rsid w:val="00860834"/>
    <w:rsid w:val="00861280"/>
    <w:rsid w:val="008618B1"/>
    <w:rsid w:val="00862110"/>
    <w:rsid w:val="00863867"/>
    <w:rsid w:val="00864F6E"/>
    <w:rsid w:val="008701FF"/>
    <w:rsid w:val="008844CD"/>
    <w:rsid w:val="00885647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C11D3"/>
    <w:rsid w:val="008C175F"/>
    <w:rsid w:val="008C345D"/>
    <w:rsid w:val="008C5C4E"/>
    <w:rsid w:val="008D03E7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528F"/>
    <w:rsid w:val="009077C1"/>
    <w:rsid w:val="00913842"/>
    <w:rsid w:val="0091432C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1DFC"/>
    <w:rsid w:val="009F2E0F"/>
    <w:rsid w:val="009F3172"/>
    <w:rsid w:val="00A025DF"/>
    <w:rsid w:val="00A03C17"/>
    <w:rsid w:val="00A07ACA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D03E4"/>
    <w:rsid w:val="00AD068E"/>
    <w:rsid w:val="00AD0BF2"/>
    <w:rsid w:val="00AD3FD8"/>
    <w:rsid w:val="00AD508B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D4950"/>
    <w:rsid w:val="00BE0DBC"/>
    <w:rsid w:val="00BE1E79"/>
    <w:rsid w:val="00BE2457"/>
    <w:rsid w:val="00BE3D23"/>
    <w:rsid w:val="00BE4702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EC2"/>
    <w:rsid w:val="00C451F4"/>
    <w:rsid w:val="00C4524C"/>
    <w:rsid w:val="00C45D01"/>
    <w:rsid w:val="00C47CD8"/>
    <w:rsid w:val="00C522A6"/>
    <w:rsid w:val="00C52642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5B49"/>
    <w:rsid w:val="00C93815"/>
    <w:rsid w:val="00C94764"/>
    <w:rsid w:val="00C94774"/>
    <w:rsid w:val="00CA3584"/>
    <w:rsid w:val="00CA5E99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5E"/>
    <w:rsid w:val="00D7506D"/>
    <w:rsid w:val="00D8040A"/>
    <w:rsid w:val="00D81E1E"/>
    <w:rsid w:val="00D83667"/>
    <w:rsid w:val="00D85BD4"/>
    <w:rsid w:val="00D910BE"/>
    <w:rsid w:val="00D92CB5"/>
    <w:rsid w:val="00D93CF8"/>
    <w:rsid w:val="00D95601"/>
    <w:rsid w:val="00D96406"/>
    <w:rsid w:val="00D97190"/>
    <w:rsid w:val="00D977D9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43A5"/>
    <w:rsid w:val="00DC6EE3"/>
    <w:rsid w:val="00DD0AED"/>
    <w:rsid w:val="00DD27A7"/>
    <w:rsid w:val="00DD37EA"/>
    <w:rsid w:val="00DD7659"/>
    <w:rsid w:val="00DE143A"/>
    <w:rsid w:val="00DE189A"/>
    <w:rsid w:val="00DE51BF"/>
    <w:rsid w:val="00DE5B66"/>
    <w:rsid w:val="00DE6A6D"/>
    <w:rsid w:val="00DF1D7C"/>
    <w:rsid w:val="00DF2EB6"/>
    <w:rsid w:val="00DF384D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315E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37A3"/>
    <w:rsid w:val="00FB43E5"/>
    <w:rsid w:val="00FB5912"/>
    <w:rsid w:val="00FC34AA"/>
    <w:rsid w:val="00FC3A16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E30"/>
    <w:rsid w:val="00FE3F67"/>
    <w:rsid w:val="00FE6A3D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37EA58B-CF5C-4DA8-AA9D-DE322775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vbukh.ru/npd/edoc/99_901765862_ZAP2CJA3H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84455-0828-48DC-9DBD-1850BA04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7701</TotalTime>
  <Pages>1</Pages>
  <Words>3216</Words>
  <Characters>18334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687</cp:revision>
  <cp:lastPrinted>2018-10-30T11:28:00Z</cp:lastPrinted>
  <dcterms:created xsi:type="dcterms:W3CDTF">2016-07-28T05:35:00Z</dcterms:created>
  <dcterms:modified xsi:type="dcterms:W3CDTF">2019-01-15T06:02:00Z</dcterms:modified>
</cp:coreProperties>
</file>