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8A" w:rsidRPr="0057748A" w:rsidRDefault="0057748A" w:rsidP="005774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8A">
        <w:rPr>
          <w:rFonts w:ascii="Times New Roman" w:hAnsi="Times New Roman" w:cs="Times New Roman"/>
          <w:b/>
          <w:sz w:val="24"/>
          <w:szCs w:val="24"/>
        </w:rPr>
        <w:t>Глава  2.4. Принятые санкции за нарушения требований санитарного законодательства</w:t>
      </w:r>
    </w:p>
    <w:p w:rsidR="00446DB5" w:rsidRDefault="000627E3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446DB5" w:rsidRPr="00DB2F48">
        <w:rPr>
          <w:rFonts w:ascii="Times New Roman" w:hAnsi="Times New Roman" w:cs="Times New Roman"/>
          <w:sz w:val="24"/>
          <w:szCs w:val="24"/>
        </w:rPr>
        <w:t xml:space="preserve">В целях улучшения показателей приоритетных заболеваний, обусловленных неблагоприятным воздействием факторов среды обитания населения автономного округа Управлением </w:t>
      </w:r>
      <w:proofErr w:type="spellStart"/>
      <w:r w:rsidR="00446DB5" w:rsidRPr="00DB2F48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446DB5" w:rsidRPr="00DB2F48">
        <w:rPr>
          <w:rFonts w:ascii="Times New Roman" w:hAnsi="Times New Roman" w:cs="Times New Roman"/>
          <w:sz w:val="24"/>
          <w:szCs w:val="24"/>
        </w:rPr>
        <w:t xml:space="preserve"> по ХМАО-Югре (ТО УФС в г.</w:t>
      </w:r>
      <w:r w:rsidR="00446DB5">
        <w:rPr>
          <w:rFonts w:ascii="Times New Roman" w:hAnsi="Times New Roman" w:cs="Times New Roman"/>
          <w:sz w:val="24"/>
          <w:szCs w:val="24"/>
        </w:rPr>
        <w:t xml:space="preserve"> </w:t>
      </w:r>
      <w:r w:rsidR="00446DB5" w:rsidRPr="00DB2F48">
        <w:rPr>
          <w:rFonts w:ascii="Times New Roman" w:hAnsi="Times New Roman" w:cs="Times New Roman"/>
          <w:sz w:val="24"/>
          <w:szCs w:val="24"/>
        </w:rPr>
        <w:t>Нефтеюганске, Нефтеюганском районе и г.</w:t>
      </w:r>
      <w:r w:rsidR="00446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DB5" w:rsidRPr="00DB2F48">
        <w:rPr>
          <w:rFonts w:ascii="Times New Roman" w:hAnsi="Times New Roman" w:cs="Times New Roman"/>
          <w:sz w:val="24"/>
          <w:szCs w:val="24"/>
        </w:rPr>
        <w:t>Пыть-Ях</w:t>
      </w:r>
      <w:proofErr w:type="spellEnd"/>
      <w:r w:rsidR="00446DB5" w:rsidRPr="00DB2F48">
        <w:rPr>
          <w:rFonts w:ascii="Times New Roman" w:hAnsi="Times New Roman" w:cs="Times New Roman"/>
          <w:sz w:val="24"/>
          <w:szCs w:val="24"/>
        </w:rPr>
        <w:t>), при проведении контрольно-надзорных мероприятий</w:t>
      </w:r>
      <w:r w:rsidR="00446DB5">
        <w:rPr>
          <w:rFonts w:ascii="Times New Roman" w:hAnsi="Times New Roman" w:cs="Times New Roman"/>
          <w:sz w:val="24"/>
          <w:szCs w:val="24"/>
        </w:rPr>
        <w:t>, а также в рамках административного расследования, эпидемиологического расследования,</w:t>
      </w:r>
      <w:r w:rsidR="00446DB5" w:rsidRPr="00DB2F48">
        <w:rPr>
          <w:rFonts w:ascii="Times New Roman" w:hAnsi="Times New Roman" w:cs="Times New Roman"/>
          <w:sz w:val="24"/>
          <w:szCs w:val="24"/>
        </w:rPr>
        <w:t xml:space="preserve"> применяются меры административного принуждения к субъектам хозяйственной деятельности, допускающим нарушения санитарного законодательства и законодательства о защите прав потребителей.</w:t>
      </w:r>
      <w:proofErr w:type="gramEnd"/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специалистами территориального отдела  в 2017 году  возбуждено 282 дела об административном правонарушении, что на 10% меньше, чем в 2016 году,  в 2016 году возбуждено 314 дел об административном правонарушении, что на 25% меньше чем в 2015 году. </w:t>
      </w:r>
      <w:r>
        <w:rPr>
          <w:noProof/>
        </w:rPr>
        <w:pict>
          <v:line id="Прямая соединительная линия 7" o:spid="_x0000_s1029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5.85pt,1.9pt" to="525.8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" o:allowincell="f" strokeweight=".25pt">
            <w10:wrap anchorx="margin"/>
          </v:line>
        </w:pict>
      </w:r>
      <w:r>
        <w:rPr>
          <w:noProof/>
        </w:rPr>
        <w:pict>
          <v:line id="Прямая соединительная линия 6" o:spid="_x0000_s1028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6.1pt,343.9pt" to="526.1pt,3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" o:allowincell="f" strokeweight=".25pt">
            <w10:wrap anchorx="margin"/>
          </v:line>
        </w:pict>
      </w:r>
      <w:r>
        <w:rPr>
          <w:rFonts w:ascii="Times New Roman" w:hAnsi="Times New Roman" w:cs="Times New Roman"/>
          <w:sz w:val="24"/>
          <w:szCs w:val="24"/>
        </w:rPr>
        <w:t>В</w:t>
      </w:r>
      <w:r w:rsidRPr="00DB2F48">
        <w:rPr>
          <w:rFonts w:ascii="Times New Roman" w:hAnsi="Times New Roman" w:cs="Times New Roman"/>
          <w:sz w:val="24"/>
          <w:szCs w:val="24"/>
        </w:rPr>
        <w:t xml:space="preserve"> 2015 году составлено 396 протоколов об административном правонарушении, что практически на одном уровне в сравнении с 2014 годом (</w:t>
      </w:r>
      <w:r>
        <w:rPr>
          <w:rFonts w:ascii="Times New Roman" w:hAnsi="Times New Roman" w:cs="Times New Roman"/>
          <w:sz w:val="24"/>
          <w:szCs w:val="24"/>
        </w:rPr>
        <w:t xml:space="preserve">небольшое </w:t>
      </w:r>
      <w:r w:rsidRPr="00DB2F48">
        <w:rPr>
          <w:rFonts w:ascii="Times New Roman" w:hAnsi="Times New Roman" w:cs="Times New Roman"/>
          <w:sz w:val="24"/>
          <w:szCs w:val="24"/>
        </w:rPr>
        <w:t>увеличение на 3% , в сравнении с 2014 году), в 2014 году составлено 384 протокола об ад</w:t>
      </w:r>
      <w:r>
        <w:rPr>
          <w:rFonts w:ascii="Times New Roman" w:hAnsi="Times New Roman" w:cs="Times New Roman"/>
          <w:sz w:val="24"/>
          <w:szCs w:val="24"/>
        </w:rPr>
        <w:t>министративных правонарушениях.</w:t>
      </w:r>
    </w:p>
    <w:p w:rsidR="00446DB5" w:rsidRPr="00DB2F48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Уменьшение в сравнении с 2016-2015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DB2F48">
        <w:rPr>
          <w:rFonts w:ascii="Times New Roman" w:hAnsi="Times New Roman" w:cs="Times New Roman"/>
          <w:sz w:val="24"/>
          <w:szCs w:val="24"/>
        </w:rPr>
        <w:t xml:space="preserve"> произошло 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изменений, внесенных в Федеральный закон от 26.12.2008г №294 «О защите прав юридических лиц и индивидуальных предпринимателей…», предусматривающий с 01.01.2017г исключительно претензионный порядок обращений граждан с жалобами.</w:t>
      </w:r>
    </w:p>
    <w:p w:rsidR="00446DB5" w:rsidRPr="007E20E0" w:rsidRDefault="00446DB5" w:rsidP="00446DB5">
      <w:r w:rsidRPr="007E20E0">
        <w:tab/>
      </w:r>
      <w:r w:rsidRPr="007E20E0">
        <w:rPr>
          <w:noProof/>
          <w:lang w:eastAsia="ru-RU"/>
        </w:rPr>
        <w:drawing>
          <wp:inline distT="0" distB="0" distL="0" distR="0" wp14:anchorId="7412E7ED" wp14:editId="14586A48">
            <wp:extent cx="2752725" cy="1809750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46DB5" w:rsidRDefault="00446DB5" w:rsidP="00446DB5">
      <w:pPr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Рис.17</w:t>
      </w:r>
    </w:p>
    <w:p w:rsidR="00446DB5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2017 году</w:t>
      </w:r>
      <w:r w:rsidRPr="00855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число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территориальным отделом (учитываются протоколы, поступившие из ОМВД и прокуратуры) постановлений о наложении административного наказания</w:t>
      </w:r>
      <w:r>
        <w:rPr>
          <w:rFonts w:ascii="Times New Roman" w:hAnsi="Times New Roman" w:cs="Times New Roman"/>
          <w:sz w:val="24"/>
          <w:szCs w:val="24"/>
        </w:rPr>
        <w:t xml:space="preserve"> – 334, что в том числе в виде штрафа 330, что составляет  99% от общего количества вынесенных постановлений. В 2016 году число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территориальным отделом (учитываются протоколы, поступившие из ОМВД и прокуратуры) постановлений о наложении административного наказания</w:t>
      </w:r>
      <w:r>
        <w:rPr>
          <w:rFonts w:ascii="Times New Roman" w:hAnsi="Times New Roman" w:cs="Times New Roman"/>
          <w:sz w:val="24"/>
          <w:szCs w:val="24"/>
        </w:rPr>
        <w:t xml:space="preserve"> – 383, в том числе в виде штрафа 381,  что составляет 99,4% от общего числа вынесенных постановлений. </w:t>
      </w:r>
      <w:r w:rsidRPr="00DB2F48">
        <w:rPr>
          <w:rFonts w:ascii="Times New Roman" w:hAnsi="Times New Roman" w:cs="Times New Roman"/>
          <w:sz w:val="24"/>
          <w:szCs w:val="24"/>
        </w:rPr>
        <w:t>В 2015 году число вынесенных территориальным отделом (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DB2F48">
        <w:rPr>
          <w:rFonts w:ascii="Times New Roman" w:hAnsi="Times New Roman" w:cs="Times New Roman"/>
          <w:sz w:val="24"/>
          <w:szCs w:val="24"/>
        </w:rPr>
        <w:t xml:space="preserve">учитываются протоколы, поступившие из ОМВД и прокуратуры) постановлений о наложении административного наказания – 425, в том числе в виде штрафа – 417, что составляет  98,1% от общего числа вынесенных постановлений. Количество вынесенных постановлений на 10% больше, чем в 2014году,  в 2014 году число вынесенных территориальным отделом (учитываются протоколы, поступившие из ОМВД и прокуратуры) постановлений о наложении административного наказания – 385,в том числе в виде </w:t>
      </w:r>
      <w:r>
        <w:rPr>
          <w:rFonts w:ascii="Times New Roman" w:hAnsi="Times New Roman" w:cs="Times New Roman"/>
          <w:sz w:val="24"/>
          <w:szCs w:val="24"/>
        </w:rPr>
        <w:t>штрафа 378, что составило 98,4% о</w:t>
      </w:r>
      <w:r w:rsidRPr="00DB2F48">
        <w:rPr>
          <w:rFonts w:ascii="Times New Roman" w:hAnsi="Times New Roman" w:cs="Times New Roman"/>
          <w:sz w:val="24"/>
          <w:szCs w:val="24"/>
        </w:rPr>
        <w:t>т общего числа вынесенных постановлений.</w:t>
      </w:r>
    </w:p>
    <w:p w:rsidR="00446DB5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сравнении с 2016 годом, количество вынесенных постановлений уменьшилось на 12% в связи с уменьшением количества возбужденных административных дел. </w:t>
      </w:r>
    </w:p>
    <w:p w:rsidR="00446DB5" w:rsidRPr="00DB2F48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lastRenderedPageBreak/>
        <w:t>Вынесено постановлений о назначении административного наказания в виде предупреждения</w:t>
      </w:r>
      <w:r>
        <w:rPr>
          <w:rFonts w:ascii="Times New Roman" w:hAnsi="Times New Roman" w:cs="Times New Roman"/>
          <w:sz w:val="24"/>
          <w:szCs w:val="24"/>
        </w:rPr>
        <w:t xml:space="preserve"> в 2017 году - 4, что составляет 0,9% от общего количества вынесенных постановлений.  В</w:t>
      </w:r>
      <w:r w:rsidRPr="00DB2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2016 году -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составляет 0,5 % от общего числа вынесенных постановлений, </w:t>
      </w:r>
      <w:r w:rsidRPr="00DB2F48">
        <w:rPr>
          <w:rFonts w:ascii="Times New Roman" w:hAnsi="Times New Roman" w:cs="Times New Roman"/>
          <w:sz w:val="24"/>
          <w:szCs w:val="24"/>
        </w:rPr>
        <w:t>2015 году – 7, 2014 году -7 (</w:t>
      </w:r>
      <w:r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Pr="00DB2F48">
        <w:rPr>
          <w:rFonts w:ascii="Times New Roman" w:hAnsi="Times New Roman" w:cs="Times New Roman"/>
          <w:sz w:val="24"/>
          <w:szCs w:val="24"/>
        </w:rPr>
        <w:t>в отношении учреждений здравоохранения), что составляет 1,5% от общего числа вынесенных постановлений.</w:t>
      </w:r>
    </w:p>
    <w:p w:rsidR="00446DB5" w:rsidRPr="006A4DB0" w:rsidRDefault="00446DB5" w:rsidP="0044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DB5" w:rsidRPr="007E20E0" w:rsidRDefault="00446DB5" w:rsidP="00446DB5">
      <w:r>
        <w:rPr>
          <w:noProof/>
          <w:lang w:eastAsia="ru-RU"/>
        </w:rPr>
        <w:drawing>
          <wp:inline distT="0" distB="0" distL="0" distR="0" wp14:anchorId="1EF21750" wp14:editId="487512A8">
            <wp:extent cx="4448175" cy="2552700"/>
            <wp:effectExtent l="0" t="0" r="9525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6DB5" w:rsidRPr="007E20E0" w:rsidRDefault="00446DB5" w:rsidP="00446DB5">
      <w:r>
        <w:t>Рис.18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ТО УФС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B2F4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B2F48">
        <w:rPr>
          <w:rFonts w:ascii="Times New Roman" w:hAnsi="Times New Roman" w:cs="Times New Roman"/>
          <w:sz w:val="24"/>
          <w:szCs w:val="24"/>
        </w:rPr>
        <w:t>ефтеюганске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, Нефтеюганском районе и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г.Пыть-Ях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 за период</w:t>
      </w:r>
      <w:r>
        <w:rPr>
          <w:rFonts w:ascii="Times New Roman" w:hAnsi="Times New Roman" w:cs="Times New Roman"/>
          <w:sz w:val="24"/>
          <w:szCs w:val="24"/>
        </w:rPr>
        <w:t xml:space="preserve"> 2017 года направлено на рассмотрение в суд  41 административный материал, что на 39% больше, чем в 2016 году и на 15% больше, чем в 2015 году.  В 2016 г. </w:t>
      </w:r>
      <w:r w:rsidRPr="00DB2F48">
        <w:rPr>
          <w:rFonts w:ascii="Times New Roman" w:hAnsi="Times New Roman" w:cs="Times New Roman"/>
          <w:sz w:val="24"/>
          <w:szCs w:val="24"/>
        </w:rPr>
        <w:t xml:space="preserve"> напр</w:t>
      </w:r>
      <w:r>
        <w:rPr>
          <w:rFonts w:ascii="Times New Roman" w:hAnsi="Times New Roman" w:cs="Times New Roman"/>
          <w:sz w:val="24"/>
          <w:szCs w:val="24"/>
        </w:rPr>
        <w:t>авлено на рассмотрение в суд  2</w:t>
      </w:r>
      <w:r w:rsidRPr="00DB2F48">
        <w:rPr>
          <w:rFonts w:ascii="Times New Roman" w:hAnsi="Times New Roman" w:cs="Times New Roman"/>
          <w:sz w:val="24"/>
          <w:szCs w:val="24"/>
        </w:rPr>
        <w:t>5 административных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, что на 4% меньше, чем в 2015 году. 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</w:t>
      </w:r>
      <w:r w:rsidRPr="00DB2F48">
        <w:rPr>
          <w:rFonts w:ascii="Times New Roman" w:hAnsi="Times New Roman" w:cs="Times New Roman"/>
          <w:sz w:val="24"/>
          <w:szCs w:val="24"/>
        </w:rPr>
        <w:t xml:space="preserve"> направлено на рассмотрение в суд – 35 административных материалов, что на 41% меньше, чем в 2014 году, в 2014 году направлено на рассмотрение в суд </w:t>
      </w:r>
      <w:r>
        <w:rPr>
          <w:rFonts w:ascii="Times New Roman" w:hAnsi="Times New Roman" w:cs="Times New Roman"/>
          <w:sz w:val="24"/>
          <w:szCs w:val="24"/>
        </w:rPr>
        <w:t>60 административных материалов.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тем, в  2017 году судом принято 40 решений о назначении административного наказания гражданам, должностным и юридическим лицам, а также индивидуальным предпринимателям, 1 дело об административном правонарушении прекращено в связи с отсутствием состава административного правонарушения.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судом принято 25 решений о назначении административного наказания гражданам, должностным и юридическим лицам, а также индивидуальным предпринимателям,  в том числе 1 наказание в виде предупреждения.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 xml:space="preserve">Доля вынесенных решений по делу об административном </w:t>
      </w:r>
      <w:proofErr w:type="gramStart"/>
      <w:r w:rsidRPr="00DB2F48">
        <w:rPr>
          <w:rFonts w:ascii="Times New Roman" w:hAnsi="Times New Roman" w:cs="Times New Roman"/>
          <w:sz w:val="24"/>
          <w:szCs w:val="24"/>
        </w:rPr>
        <w:t>правонарушении</w:t>
      </w:r>
      <w:proofErr w:type="gramEnd"/>
      <w:r w:rsidRPr="00DB2F48">
        <w:rPr>
          <w:rFonts w:ascii="Times New Roman" w:hAnsi="Times New Roman" w:cs="Times New Roman"/>
          <w:sz w:val="24"/>
          <w:szCs w:val="24"/>
        </w:rPr>
        <w:t xml:space="preserve"> о привлечении к административной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в 2017 году составила 99%,  в 2016 году</w:t>
      </w:r>
      <w:r w:rsidRPr="00DB2F48">
        <w:rPr>
          <w:rFonts w:ascii="Times New Roman" w:hAnsi="Times New Roman" w:cs="Times New Roman"/>
          <w:sz w:val="24"/>
          <w:szCs w:val="24"/>
        </w:rPr>
        <w:t xml:space="preserve"> составила</w:t>
      </w:r>
      <w:r>
        <w:rPr>
          <w:rFonts w:ascii="Times New Roman" w:hAnsi="Times New Roman" w:cs="Times New Roman"/>
          <w:sz w:val="24"/>
          <w:szCs w:val="24"/>
        </w:rPr>
        <w:t xml:space="preserve"> 100%, в то время как в 2015 году доля  таких решений составила 88,6%, в 2014 году – 87% (за счет прекращенных судом дел об административных правонарушениях)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В 2015 году судом вынесено 21 решение о назначении административного наказания в виде штрафа, в 4-х случаях вынесены решения о прекращении производства по делу. Доля вынесенных решений по делу об административном </w:t>
      </w:r>
      <w:proofErr w:type="gramStart"/>
      <w:r w:rsidRPr="00DB2F48">
        <w:rPr>
          <w:rFonts w:ascii="Times New Roman" w:hAnsi="Times New Roman" w:cs="Times New Roman"/>
          <w:sz w:val="24"/>
          <w:szCs w:val="24"/>
        </w:rPr>
        <w:t>правонарушении</w:t>
      </w:r>
      <w:proofErr w:type="gramEnd"/>
      <w:r w:rsidRPr="00DB2F48">
        <w:rPr>
          <w:rFonts w:ascii="Times New Roman" w:hAnsi="Times New Roman" w:cs="Times New Roman"/>
          <w:sz w:val="24"/>
          <w:szCs w:val="24"/>
        </w:rPr>
        <w:t xml:space="preserve"> о привлечении к административной ответственности составила 88,6% от общего числа направленных дел в суд.</w:t>
      </w:r>
    </w:p>
    <w:p w:rsidR="00446DB5" w:rsidRPr="00DB2F48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 году судом вынесено 1 решение </w:t>
      </w:r>
      <w:r w:rsidRPr="00DB2F48">
        <w:rPr>
          <w:rFonts w:ascii="Times New Roman" w:hAnsi="Times New Roman" w:cs="Times New Roman"/>
          <w:sz w:val="24"/>
          <w:szCs w:val="24"/>
        </w:rPr>
        <w:t>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 КоАП РФ), что составляет 3% от общего числа вынесенных судом решений.</w:t>
      </w:r>
    </w:p>
    <w:p w:rsidR="00446DB5" w:rsidRPr="00DB2F48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2016 году судом вынесено 2 решения</w:t>
      </w:r>
      <w:r w:rsidRPr="00DB2F48">
        <w:rPr>
          <w:rFonts w:ascii="Times New Roman" w:hAnsi="Times New Roman" w:cs="Times New Roman"/>
          <w:sz w:val="24"/>
          <w:szCs w:val="24"/>
        </w:rPr>
        <w:t xml:space="preserve"> 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ст.15.12, ч. 2.1. ст.14.16 КоАП РФ), что составляет 8</w:t>
      </w:r>
      <w:r w:rsidRPr="00DB2F48">
        <w:rPr>
          <w:rFonts w:ascii="Times New Roman" w:hAnsi="Times New Roman" w:cs="Times New Roman"/>
          <w:sz w:val="24"/>
          <w:szCs w:val="24"/>
        </w:rPr>
        <w:t>% от общего числа вынесенных судом решений.</w:t>
      </w:r>
    </w:p>
    <w:p w:rsidR="00446DB5" w:rsidRPr="00DB2F48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2F48">
        <w:rPr>
          <w:rFonts w:ascii="Times New Roman" w:hAnsi="Times New Roman" w:cs="Times New Roman"/>
          <w:sz w:val="24"/>
          <w:szCs w:val="24"/>
        </w:rPr>
        <w:t>В 2015 году судом вынесено 3 решения 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ч.ч</w:t>
      </w:r>
      <w:proofErr w:type="spellEnd"/>
      <w:r>
        <w:rPr>
          <w:rFonts w:ascii="Times New Roman" w:hAnsi="Times New Roman" w:cs="Times New Roman"/>
          <w:sz w:val="24"/>
          <w:szCs w:val="24"/>
        </w:rPr>
        <w:t>. 1,2 ст.15.12, ч. 3 ст.14.43 КоАП РФ</w:t>
      </w:r>
      <w:r w:rsidRPr="00DB2F48">
        <w:rPr>
          <w:rFonts w:ascii="Times New Roman" w:hAnsi="Times New Roman" w:cs="Times New Roman"/>
          <w:sz w:val="24"/>
          <w:szCs w:val="24"/>
        </w:rPr>
        <w:t>, что составляет 6% от общего числа вынесенных судом решений.</w:t>
      </w:r>
      <w:proofErr w:type="gramEnd"/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Данн</w:t>
      </w:r>
      <w:r>
        <w:rPr>
          <w:rFonts w:ascii="Times New Roman" w:hAnsi="Times New Roman" w:cs="Times New Roman"/>
          <w:sz w:val="24"/>
          <w:szCs w:val="24"/>
        </w:rPr>
        <w:t>ый показатель в сравнении с 2016-2015 годами</w:t>
      </w:r>
      <w:r w:rsidRPr="00DB2F48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>существенно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изменился. 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 году судом приостановлена деятельность 5 предприятий общественного питания, торговли, а также 1 промышленного транспортного предприятия (ООО ТЭК Север), что составляет 12% от общего числа материалов, направленных на рассмотрение в суд, и что на 40% больше, чем в 2016году</w:t>
      </w:r>
    </w:p>
    <w:p w:rsidR="00446DB5" w:rsidRPr="00DB2F48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судом приостановлена деятельность 2-х предприятий (торговли, общественного питания), что составляет 8%</w:t>
      </w:r>
      <w:r w:rsidRPr="001658E1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>от общего числа материалов, направленных для принятия решения в суд.</w:t>
      </w:r>
    </w:p>
    <w:p w:rsidR="00446DB5" w:rsidRPr="00DB2F48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В 2015 году судом вынесено 6 решений о приостановлении деятельности предприятий торговли, общественного питания, что на 50% больше, чем в 2014 -2013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>. Доля вынесенных решений о приостановлении деятельности составила 17% от общего числа материалов, направленных для принятия решения в суд.</w:t>
      </w:r>
    </w:p>
    <w:p w:rsidR="00446DB5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наложенных административных штрафов в 2017 году  составила 3596,0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что на 28% меньше, чем в 2016году. В  2016 году сумма наложенных штрафов  увеличилась на 28% в сравнении с 2015 годом, на 19,7% в сравнении с 2014 годом и  составляет 4967,6 рублей, что значительно больше, чем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2014-2015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6DB5" w:rsidRPr="00DB2F48" w:rsidRDefault="00446DB5" w:rsidP="00446DB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Сумма наложенного штрафа в 2015 году составила 3493,5 рублей, что незначит</w:t>
      </w:r>
      <w:r>
        <w:rPr>
          <w:rFonts w:ascii="Times New Roman" w:hAnsi="Times New Roman" w:cs="Times New Roman"/>
          <w:sz w:val="24"/>
          <w:szCs w:val="24"/>
        </w:rPr>
        <w:t>ельно меньше, чем в 2014 году (</w:t>
      </w:r>
      <w:r w:rsidRPr="00DB2F48">
        <w:rPr>
          <w:rFonts w:ascii="Times New Roman" w:hAnsi="Times New Roman" w:cs="Times New Roman"/>
          <w:sz w:val="24"/>
          <w:szCs w:val="24"/>
        </w:rPr>
        <w:t xml:space="preserve">на 12%), в  2014 году  сумма наложенных штрафов составила 3985,6 рублей,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рис.19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46DB5" w:rsidRPr="007E20E0" w:rsidRDefault="00446DB5" w:rsidP="00446DB5">
      <w:r w:rsidRPr="007E20E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E599285" wp14:editId="5D56C9D6">
            <wp:simplePos x="0" y="0"/>
            <wp:positionH relativeFrom="column">
              <wp:posOffset>1626235</wp:posOffset>
            </wp:positionH>
            <wp:positionV relativeFrom="paragraph">
              <wp:posOffset>46990</wp:posOffset>
            </wp:positionV>
            <wp:extent cx="3153410" cy="1809115"/>
            <wp:effectExtent l="0" t="0" r="1905" b="1905"/>
            <wp:wrapSquare wrapText="right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6DB5" w:rsidRPr="007E20E0" w:rsidRDefault="00446DB5" w:rsidP="00446DB5">
      <w:r w:rsidRPr="007E20E0">
        <w:t xml:space="preserve">                                                                         </w:t>
      </w:r>
      <w:r>
        <w:t>Рис.19</w:t>
      </w:r>
      <w:r w:rsidRPr="007E20E0">
        <w:rPr>
          <w:noProof/>
          <w:lang w:eastAsia="ru-RU"/>
        </w:rPr>
        <w:drawing>
          <wp:inline distT="0" distB="0" distL="0" distR="0" wp14:anchorId="658A088E" wp14:editId="7B772C6A">
            <wp:extent cx="2752725" cy="1828800"/>
            <wp:effectExtent l="0" t="0" r="0" b="0"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46DB5" w:rsidRPr="00DD543E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сумм штрафов в 2017</w:t>
      </w:r>
      <w:r w:rsidRPr="00D44186">
        <w:rPr>
          <w:rFonts w:ascii="Times New Roman" w:hAnsi="Times New Roman" w:cs="Times New Roman"/>
          <w:sz w:val="24"/>
          <w:szCs w:val="24"/>
        </w:rPr>
        <w:t xml:space="preserve"> году произошло за счет </w:t>
      </w:r>
      <w:r>
        <w:rPr>
          <w:rFonts w:ascii="Times New Roman" w:hAnsi="Times New Roman" w:cs="Times New Roman"/>
          <w:sz w:val="24"/>
          <w:szCs w:val="24"/>
        </w:rPr>
        <w:t xml:space="preserve"> уменьшения количества </w:t>
      </w:r>
      <w:r w:rsidRPr="00D44186">
        <w:rPr>
          <w:rFonts w:ascii="Times New Roman" w:hAnsi="Times New Roman" w:cs="Times New Roman"/>
          <w:sz w:val="24"/>
          <w:szCs w:val="24"/>
        </w:rPr>
        <w:t>возбужденных дел в отношении юридических</w:t>
      </w:r>
      <w:r>
        <w:rPr>
          <w:rFonts w:ascii="Times New Roman" w:hAnsi="Times New Roman" w:cs="Times New Roman"/>
          <w:sz w:val="24"/>
          <w:szCs w:val="24"/>
        </w:rPr>
        <w:t>, должностных</w:t>
      </w:r>
      <w:r w:rsidRPr="00D44186">
        <w:rPr>
          <w:rFonts w:ascii="Times New Roman" w:hAnsi="Times New Roman" w:cs="Times New Roman"/>
          <w:sz w:val="24"/>
          <w:szCs w:val="24"/>
        </w:rPr>
        <w:t xml:space="preserve"> лиц в соответствии с Кодексом об административ</w:t>
      </w:r>
      <w:r>
        <w:rPr>
          <w:rFonts w:ascii="Times New Roman" w:hAnsi="Times New Roman" w:cs="Times New Roman"/>
          <w:sz w:val="24"/>
          <w:szCs w:val="24"/>
        </w:rPr>
        <w:t>ных правонарушениях Российской Ф</w:t>
      </w:r>
      <w:r w:rsidRPr="00D44186">
        <w:rPr>
          <w:rFonts w:ascii="Times New Roman" w:hAnsi="Times New Roman" w:cs="Times New Roman"/>
          <w:sz w:val="24"/>
          <w:szCs w:val="24"/>
        </w:rPr>
        <w:t>едерации.</w:t>
      </w:r>
      <w:r w:rsidRPr="007E20E0">
        <w:t xml:space="preserve">       </w:t>
      </w:r>
    </w:p>
    <w:p w:rsidR="00446DB5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 году процент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составил 97%, что на 9% больше, чем в 2016 году,  и на 7%  чем в 2015 году. В 2016 году процент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штрафов составил 88%. В 2015 году процент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штрафов составил 90% от наложенных штрафов. </w:t>
      </w:r>
    </w:p>
    <w:p w:rsidR="00446DB5" w:rsidRPr="00ED3261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</w:t>
      </w:r>
      <w:r w:rsidRPr="00ED3261">
        <w:rPr>
          <w:rFonts w:ascii="Times New Roman" w:hAnsi="Times New Roman" w:cs="Times New Roman"/>
          <w:sz w:val="24"/>
          <w:szCs w:val="24"/>
        </w:rPr>
        <w:t xml:space="preserve">о объективным причинам процент </w:t>
      </w:r>
      <w:proofErr w:type="spellStart"/>
      <w:r w:rsidRPr="00ED3261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Pr="00ED3261">
        <w:rPr>
          <w:rFonts w:ascii="Times New Roman" w:hAnsi="Times New Roman" w:cs="Times New Roman"/>
          <w:sz w:val="24"/>
          <w:szCs w:val="24"/>
        </w:rPr>
        <w:t xml:space="preserve"> штрафов не составляет 100%, в связи с тем, что в декабре месяце были проведены </w:t>
      </w:r>
      <w:r>
        <w:rPr>
          <w:rFonts w:ascii="Times New Roman" w:hAnsi="Times New Roman" w:cs="Times New Roman"/>
          <w:sz w:val="24"/>
          <w:szCs w:val="24"/>
        </w:rPr>
        <w:t xml:space="preserve">плановые проверки, </w:t>
      </w:r>
      <w:r w:rsidRPr="00ED3261">
        <w:rPr>
          <w:rFonts w:ascii="Times New Roman" w:hAnsi="Times New Roman" w:cs="Times New Roman"/>
          <w:sz w:val="24"/>
          <w:szCs w:val="24"/>
        </w:rPr>
        <w:t>проверки (рейды по заданию ФС) по подготовке к Новому году и по заданию прокуратуры.</w:t>
      </w:r>
      <w:r>
        <w:rPr>
          <w:rFonts w:ascii="Times New Roman" w:hAnsi="Times New Roman" w:cs="Times New Roman"/>
          <w:sz w:val="24"/>
          <w:szCs w:val="24"/>
        </w:rPr>
        <w:t xml:space="preserve"> В декабре месяце были вынесены постановления по делу об административном правонарушении по материалам, поступившим из ОМВД. Добровольный срок уплаты составляет 60 дней. Таким образом,  по наложенным в декабре штрафам срок уплаты штрафов не истек. </w:t>
      </w:r>
      <w:r w:rsidRPr="00ED3261">
        <w:rPr>
          <w:rFonts w:ascii="Times New Roman" w:hAnsi="Times New Roman" w:cs="Times New Roman"/>
          <w:sz w:val="24"/>
          <w:szCs w:val="24"/>
        </w:rPr>
        <w:t xml:space="preserve">Сроки </w:t>
      </w:r>
      <w:r w:rsidRPr="00ED3261">
        <w:rPr>
          <w:rFonts w:ascii="Times New Roman" w:hAnsi="Times New Roman" w:cs="Times New Roman"/>
          <w:sz w:val="24"/>
          <w:szCs w:val="24"/>
        </w:rPr>
        <w:lastRenderedPageBreak/>
        <w:t>по уплате штрафов, наложенных до</w:t>
      </w:r>
      <w:r>
        <w:rPr>
          <w:rFonts w:ascii="Times New Roman" w:hAnsi="Times New Roman" w:cs="Times New Roman"/>
          <w:sz w:val="24"/>
          <w:szCs w:val="24"/>
        </w:rPr>
        <w:t>лжностными лицами в декабре 2017</w:t>
      </w:r>
      <w:r w:rsidRPr="00ED3261">
        <w:rPr>
          <w:rFonts w:ascii="Times New Roman" w:hAnsi="Times New Roman" w:cs="Times New Roman"/>
          <w:sz w:val="24"/>
          <w:szCs w:val="24"/>
        </w:rPr>
        <w:t xml:space="preserve"> года согласно требованиям закона, на момент составления годовых отчетов, еще не наступили. Однако сумма наложенных этих штрафов по о</w:t>
      </w:r>
      <w:r>
        <w:rPr>
          <w:rFonts w:ascii="Times New Roman" w:hAnsi="Times New Roman" w:cs="Times New Roman"/>
          <w:sz w:val="24"/>
          <w:szCs w:val="24"/>
        </w:rPr>
        <w:t>тчету за 2017</w:t>
      </w:r>
      <w:r w:rsidRPr="00ED3261">
        <w:rPr>
          <w:rFonts w:ascii="Times New Roman" w:hAnsi="Times New Roman" w:cs="Times New Roman"/>
          <w:sz w:val="24"/>
          <w:szCs w:val="24"/>
        </w:rPr>
        <w:t xml:space="preserve"> год уже прошла, поэтому взысканные суммы от этих штра</w:t>
      </w:r>
      <w:r>
        <w:rPr>
          <w:rFonts w:ascii="Times New Roman" w:hAnsi="Times New Roman" w:cs="Times New Roman"/>
          <w:sz w:val="24"/>
          <w:szCs w:val="24"/>
        </w:rPr>
        <w:t>фов будут уже учитываться в 2018</w:t>
      </w:r>
      <w:r w:rsidRPr="00ED3261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446DB5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>Количество используемых статей КоАП РФ при проведении контрольно-надзорных мероприятий, а также при проведении административных расследований  в</w:t>
      </w:r>
      <w:r>
        <w:rPr>
          <w:rFonts w:ascii="Times New Roman" w:hAnsi="Times New Roman" w:cs="Times New Roman"/>
          <w:sz w:val="24"/>
          <w:szCs w:val="24"/>
        </w:rPr>
        <w:t xml:space="preserve">  2017году уменьшилось, и составляет 43 состава. В 2016-</w:t>
      </w:r>
      <w:r w:rsidRPr="00ED3261">
        <w:rPr>
          <w:rFonts w:ascii="Times New Roman" w:hAnsi="Times New Roman" w:cs="Times New Roman"/>
          <w:sz w:val="24"/>
          <w:szCs w:val="24"/>
        </w:rPr>
        <w:t xml:space="preserve"> 2015 </w:t>
      </w:r>
      <w:r>
        <w:rPr>
          <w:rFonts w:ascii="Times New Roman" w:hAnsi="Times New Roman" w:cs="Times New Roman"/>
          <w:sz w:val="24"/>
          <w:szCs w:val="24"/>
        </w:rPr>
        <w:t>г.  количество составов одинаково, вместе с тем</w:t>
      </w:r>
      <w:r w:rsidRPr="00ED3261">
        <w:rPr>
          <w:rFonts w:ascii="Times New Roman" w:hAnsi="Times New Roman" w:cs="Times New Roman"/>
          <w:sz w:val="24"/>
          <w:szCs w:val="24"/>
        </w:rPr>
        <w:t xml:space="preserve">  увеличилось в сравнении с 2014 годом на 13%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2014 году – 40 составов) </w:t>
      </w:r>
      <w:r w:rsidRPr="00ED3261">
        <w:rPr>
          <w:rFonts w:ascii="Times New Roman" w:hAnsi="Times New Roman" w:cs="Times New Roman"/>
          <w:sz w:val="24"/>
          <w:szCs w:val="24"/>
        </w:rPr>
        <w:t>и составило 46  составов Кодекса Российской Федерации об административных правонарушениях. В сравнении с 2013 годом количество применяемых составов увеличилось на  17,4%, в период 2013 год количество составов состав</w:t>
      </w:r>
      <w:r>
        <w:rPr>
          <w:rFonts w:ascii="Times New Roman" w:hAnsi="Times New Roman" w:cs="Times New Roman"/>
          <w:sz w:val="24"/>
          <w:szCs w:val="24"/>
        </w:rPr>
        <w:t>ило 38, в 2012 году -22 состава (рис.20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46DB5" w:rsidRDefault="00446DB5" w:rsidP="0044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Рис.20</w:t>
      </w:r>
    </w:p>
    <w:p w:rsidR="00446DB5" w:rsidRDefault="00446DB5" w:rsidP="00446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EFCFE0" wp14:editId="7C069778">
            <wp:extent cx="5343525" cy="2657475"/>
            <wp:effectExtent l="0" t="0" r="9525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46DB5" w:rsidRDefault="00446DB5" w:rsidP="0044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446DB5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2017году ТО УРПН подано 3 исковых заявлений,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 иск в защиту гражданина, чьи права нарушены, 2 исковых заявления о понуждении исполнения предписания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6DB5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Иски удовлетворены.</w:t>
      </w:r>
    </w:p>
    <w:p w:rsidR="00446DB5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истекший период 2016 года  подано Управлением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территориальным отделом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5 исков, в том числе 1 иск в защиту неопределенного круга потребителей о понуждении исполнения санитарного законодательства и исполнения предписания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>, 4 иска в защиту конкретных потребителей. Судом рассмотрено 5 исков, иски удовлетворены.</w:t>
      </w:r>
    </w:p>
    <w:p w:rsidR="00446DB5" w:rsidRPr="00ED3261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ТО УРПН подано 4 иска в защиту конкретного потребителя, Судом данные иски рассмотрены и удовлетворены.</w:t>
      </w:r>
    </w:p>
    <w:p w:rsidR="00446DB5" w:rsidRPr="00ED3261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>В 2014 году подан 1 иск в защиту неопределенного круга лиц в отношении ОАО «</w:t>
      </w:r>
      <w:proofErr w:type="spellStart"/>
      <w:r w:rsidRPr="00ED3261">
        <w:rPr>
          <w:rFonts w:ascii="Times New Roman" w:hAnsi="Times New Roman" w:cs="Times New Roman"/>
          <w:sz w:val="24"/>
          <w:szCs w:val="24"/>
        </w:rPr>
        <w:t>Юганскводоканал</w:t>
      </w:r>
      <w:proofErr w:type="spellEnd"/>
      <w:r w:rsidRPr="00ED3261">
        <w:rPr>
          <w:rFonts w:ascii="Times New Roman" w:hAnsi="Times New Roman" w:cs="Times New Roman"/>
          <w:sz w:val="24"/>
          <w:szCs w:val="24"/>
        </w:rPr>
        <w:t>». Судом принято решение об удовлетворении исковых требований в полном объеме</w:t>
      </w:r>
      <w:proofErr w:type="gramStart"/>
      <w:r w:rsidRPr="00ED326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D3261">
        <w:rPr>
          <w:rFonts w:ascii="Times New Roman" w:hAnsi="Times New Roman" w:cs="Times New Roman"/>
          <w:sz w:val="24"/>
          <w:szCs w:val="24"/>
        </w:rPr>
        <w:t>что составляет 100%)</w:t>
      </w:r>
    </w:p>
    <w:p w:rsidR="00446DB5" w:rsidRPr="00ED3261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 xml:space="preserve"> В 2015 году судебной коллегией Суда ХМАО-Югры данное решение суда оставлено без изменения. </w:t>
      </w:r>
    </w:p>
    <w:p w:rsidR="00446DB5" w:rsidRPr="00ED3261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2017-2015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ED3261">
        <w:rPr>
          <w:rFonts w:ascii="Times New Roman" w:hAnsi="Times New Roman" w:cs="Times New Roman"/>
          <w:sz w:val="24"/>
          <w:szCs w:val="24"/>
        </w:rPr>
        <w:t xml:space="preserve"> постановления о направлении в правоохранительные органы материалов для возбуждения уголовных дел не направлялись.</w:t>
      </w:r>
    </w:p>
    <w:p w:rsidR="00446DB5" w:rsidRPr="00ED3261" w:rsidRDefault="00446DB5" w:rsidP="00446D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D0035C" w:rsidRPr="00ED3261" w:rsidRDefault="00D0035C" w:rsidP="00446D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0035C" w:rsidRPr="00ED3261" w:rsidSect="00446DB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57" w:rsidRDefault="00E70357" w:rsidP="004F6A4B">
      <w:pPr>
        <w:spacing w:after="0" w:line="240" w:lineRule="auto"/>
      </w:pPr>
      <w:r>
        <w:separator/>
      </w:r>
    </w:p>
  </w:endnote>
  <w:endnote w:type="continuationSeparator" w:id="0">
    <w:p w:rsidR="00E70357" w:rsidRDefault="00E70357" w:rsidP="004F6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A4B" w:rsidRDefault="004F6A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852672"/>
    </w:sdtPr>
    <w:sdtEndPr/>
    <w:sdtContent>
      <w:p w:rsidR="004F6A4B" w:rsidRDefault="00E7035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DB5">
          <w:rPr>
            <w:noProof/>
          </w:rPr>
          <w:t>130</w:t>
        </w:r>
        <w:r>
          <w:rPr>
            <w:noProof/>
          </w:rPr>
          <w:fldChar w:fldCharType="end"/>
        </w:r>
      </w:p>
    </w:sdtContent>
  </w:sdt>
  <w:p w:rsidR="004F6A4B" w:rsidRDefault="004F6A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A4B" w:rsidRDefault="004F6A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57" w:rsidRDefault="00E70357" w:rsidP="004F6A4B">
      <w:pPr>
        <w:spacing w:after="0" w:line="240" w:lineRule="auto"/>
      </w:pPr>
      <w:r>
        <w:separator/>
      </w:r>
    </w:p>
  </w:footnote>
  <w:footnote w:type="continuationSeparator" w:id="0">
    <w:p w:rsidR="00E70357" w:rsidRDefault="00E70357" w:rsidP="004F6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A4B" w:rsidRDefault="004F6A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A4B" w:rsidRDefault="004F6A4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A4B" w:rsidRDefault="004F6A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B2C"/>
    <w:rsid w:val="00055EE1"/>
    <w:rsid w:val="000627E3"/>
    <w:rsid w:val="00074058"/>
    <w:rsid w:val="0009642A"/>
    <w:rsid w:val="001022AE"/>
    <w:rsid w:val="001121F1"/>
    <w:rsid w:val="001658E1"/>
    <w:rsid w:val="00237737"/>
    <w:rsid w:val="002940FA"/>
    <w:rsid w:val="00322982"/>
    <w:rsid w:val="00355F2A"/>
    <w:rsid w:val="003C4E34"/>
    <w:rsid w:val="003F08B1"/>
    <w:rsid w:val="00446DB5"/>
    <w:rsid w:val="00467B2A"/>
    <w:rsid w:val="004E34C9"/>
    <w:rsid w:val="004F6A4B"/>
    <w:rsid w:val="0051450F"/>
    <w:rsid w:val="00572769"/>
    <w:rsid w:val="0057748A"/>
    <w:rsid w:val="005D738D"/>
    <w:rsid w:val="00600E9C"/>
    <w:rsid w:val="0060123A"/>
    <w:rsid w:val="00613FAD"/>
    <w:rsid w:val="0064278D"/>
    <w:rsid w:val="00647713"/>
    <w:rsid w:val="00666D14"/>
    <w:rsid w:val="006827CE"/>
    <w:rsid w:val="006A4DB0"/>
    <w:rsid w:val="006B065F"/>
    <w:rsid w:val="006B0B2C"/>
    <w:rsid w:val="007314EB"/>
    <w:rsid w:val="00792B9F"/>
    <w:rsid w:val="007C018D"/>
    <w:rsid w:val="007E20E0"/>
    <w:rsid w:val="008457B6"/>
    <w:rsid w:val="00922FD7"/>
    <w:rsid w:val="00925731"/>
    <w:rsid w:val="00970752"/>
    <w:rsid w:val="00A02036"/>
    <w:rsid w:val="00A1313A"/>
    <w:rsid w:val="00A33D66"/>
    <w:rsid w:val="00AE6419"/>
    <w:rsid w:val="00AF64C3"/>
    <w:rsid w:val="00B51AD6"/>
    <w:rsid w:val="00B94D21"/>
    <w:rsid w:val="00BA5AB2"/>
    <w:rsid w:val="00BE5A76"/>
    <w:rsid w:val="00BF4419"/>
    <w:rsid w:val="00C01355"/>
    <w:rsid w:val="00C024C3"/>
    <w:rsid w:val="00C1609F"/>
    <w:rsid w:val="00C20A7A"/>
    <w:rsid w:val="00C7226C"/>
    <w:rsid w:val="00C83B86"/>
    <w:rsid w:val="00C84017"/>
    <w:rsid w:val="00C856A4"/>
    <w:rsid w:val="00CA37BE"/>
    <w:rsid w:val="00D0035C"/>
    <w:rsid w:val="00D32E96"/>
    <w:rsid w:val="00D44186"/>
    <w:rsid w:val="00D45E6E"/>
    <w:rsid w:val="00D71458"/>
    <w:rsid w:val="00DB2F48"/>
    <w:rsid w:val="00E70357"/>
    <w:rsid w:val="00ED3261"/>
    <w:rsid w:val="00F7652E"/>
    <w:rsid w:val="00FA376A"/>
    <w:rsid w:val="00FA6F93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F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F6A4B"/>
  </w:style>
  <w:style w:type="paragraph" w:styleId="a8">
    <w:name w:val="footer"/>
    <w:basedOn w:val="a"/>
    <w:link w:val="a9"/>
    <w:uiPriority w:val="99"/>
    <w:unhideWhenUsed/>
    <w:rsid w:val="004F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6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8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028776978417265"/>
          <c:y val="4.9450549450549448E-2"/>
          <c:w val="0.6079136690647482"/>
          <c:h val="0.846153846153846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9999FF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396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3366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314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FFFFCC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20891264"/>
        <c:axId val="120892800"/>
        <c:axId val="0"/>
      </c:bar3DChart>
      <c:catAx>
        <c:axId val="12089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08928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0892800"/>
        <c:scaling>
          <c:orientation val="minMax"/>
        </c:scaling>
        <c:delete val="0"/>
        <c:axPos val="l"/>
        <c:majorGridlines>
          <c:spPr>
            <a:ln w="314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0891264"/>
        <c:crosses val="autoZero"/>
        <c:crossBetween val="between"/>
      </c:valAx>
      <c:spPr>
        <a:noFill/>
        <a:ln w="25133">
          <a:noFill/>
        </a:ln>
      </c:spPr>
    </c:plotArea>
    <c:legend>
      <c:legendPos val="r"/>
      <c:layout>
        <c:manualLayout>
          <c:xMode val="edge"/>
          <c:yMode val="edge"/>
          <c:x val="0.79856115107913672"/>
          <c:y val="0.34615384615384615"/>
          <c:w val="0.20143884892086331"/>
          <c:h val="0.31868131868131866"/>
        </c:manualLayout>
      </c:layout>
      <c:overlay val="0"/>
      <c:spPr>
        <a:noFill/>
        <a:ln w="3142">
          <a:solidFill>
            <a:srgbClr val="000000"/>
          </a:solidFill>
          <a:prstDash val="solid"/>
        </a:ln>
      </c:spPr>
      <c:txPr>
        <a:bodyPr/>
        <a:lstStyle/>
        <a:p>
          <a:pPr>
            <a:defRPr sz="727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425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383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6274304"/>
        <c:axId val="116275840"/>
        <c:axId val="0"/>
      </c:bar3DChart>
      <c:catAx>
        <c:axId val="116274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16275840"/>
        <c:crosses val="autoZero"/>
        <c:auto val="1"/>
        <c:lblAlgn val="ctr"/>
        <c:lblOffset val="100"/>
        <c:noMultiLvlLbl val="0"/>
      </c:catAx>
      <c:valAx>
        <c:axId val="116275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6274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45"/>
      <c:hPercent val="67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"/>
          <c:y val="0.05"/>
          <c:w val="0.578125"/>
          <c:h val="0.838888888888888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9999FF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3494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3366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4968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FFFFCC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#,##0</c:formatCode>
                <c:ptCount val="1"/>
                <c:pt idx="0">
                  <c:v>3596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23543936"/>
        <c:axId val="123545472"/>
        <c:axId val="0"/>
      </c:bar3DChart>
      <c:catAx>
        <c:axId val="123543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3545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3545472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3543936"/>
        <c:crosses val="autoZero"/>
        <c:crossBetween val="between"/>
      </c:valAx>
      <c:spPr>
        <a:noFill/>
        <a:ln w="25391">
          <a:noFill/>
        </a:ln>
      </c:spPr>
    </c:plotArea>
    <c:legend>
      <c:legendPos val="r"/>
      <c:layout>
        <c:manualLayout>
          <c:xMode val="edge"/>
          <c:yMode val="edge"/>
          <c:x val="0.8125"/>
          <c:y val="0.33888888888888891"/>
          <c:w val="0.17499999999999999"/>
          <c:h val="0.32222222222222224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/>
      <c:bar3DChart>
        <c:barDir val="col"/>
        <c:grouping val="clustere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14467968"/>
        <c:axId val="114469504"/>
        <c:axId val="0"/>
      </c:bar3DChart>
      <c:catAx>
        <c:axId val="114467968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4469504"/>
        <c:crosses val="autoZero"/>
        <c:auto val="1"/>
        <c:lblAlgn val="ctr"/>
        <c:lblOffset val="100"/>
        <c:tickMarkSkip val="1"/>
        <c:noMultiLvlLbl val="0"/>
      </c:catAx>
      <c:valAx>
        <c:axId val="114469504"/>
        <c:scaling>
          <c:orientation val="minMax"/>
        </c:scaling>
        <c:delete val="0"/>
        <c:axPos val="l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4467968"/>
        <c:crosses val="autoZero"/>
        <c:crossBetween val="between"/>
      </c:valAx>
      <c:spPr>
        <a:noFill/>
        <a:ln w="25397">
          <a:noFill/>
        </a:ln>
      </c:spPr>
    </c:plotArea>
    <c:legend>
      <c:legendPos val="r"/>
      <c:layout>
        <c:manualLayout>
          <c:xMode val="edge"/>
          <c:yMode val="edge"/>
          <c:x val="0.80575539568345322"/>
          <c:y val="0.31318681318681318"/>
          <c:w val="0.17985611510791366"/>
          <c:h val="0.3791208791208791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Составы правонарушений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46</c:v>
                </c:pt>
                <c:pt idx="2">
                  <c:v>46</c:v>
                </c:pt>
                <c:pt idx="3">
                  <c:v>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64EA1-492F-414C-92F9-82C01BB9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62</cp:revision>
  <dcterms:created xsi:type="dcterms:W3CDTF">2016-02-01T07:56:00Z</dcterms:created>
  <dcterms:modified xsi:type="dcterms:W3CDTF">2018-02-13T09:42:00Z</dcterms:modified>
</cp:coreProperties>
</file>