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изменения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 xml:space="preserve">статьями 10, 14 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EE4B2A">
        <w:rPr>
          <w:rFonts w:ascii="Times New Roman CYR" w:hAnsi="Times New Roman CYR"/>
        </w:rPr>
        <w:t xml:space="preserve">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>Внести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r w:rsidR="00475442">
        <w:rPr>
          <w:sz w:val="28"/>
        </w:rPr>
        <w:t>, а именно</w:t>
      </w:r>
      <w:r w:rsidR="007A1B36">
        <w:rPr>
          <w:sz w:val="28"/>
        </w:rPr>
        <w:t xml:space="preserve">: </w:t>
      </w:r>
    </w:p>
    <w:p w:rsidR="00381882" w:rsidRDefault="007A1B36" w:rsidP="007A1B36">
      <w:pPr>
        <w:ind w:right="-1" w:firstLine="720"/>
        <w:jc w:val="both"/>
        <w:rPr>
          <w:sz w:val="28"/>
        </w:rPr>
      </w:pPr>
      <w:r>
        <w:rPr>
          <w:sz w:val="28"/>
        </w:rPr>
        <w:t xml:space="preserve">1.1.Пункт 2.7 приложения к постановлению изложить в следующей редакции: </w:t>
      </w:r>
    </w:p>
    <w:p w:rsidR="007A1B36" w:rsidRDefault="007A1B36" w:rsidP="007A1B36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«2.7.</w:t>
      </w:r>
      <w:r>
        <w:rPr>
          <w:iCs/>
          <w:sz w:val="28"/>
          <w:szCs w:val="28"/>
        </w:rPr>
        <w:t>Департамент н</w:t>
      </w:r>
      <w:r>
        <w:rPr>
          <w:sz w:val="28"/>
          <w:szCs w:val="28"/>
        </w:rPr>
        <w:t xml:space="preserve">а основе проводимого анализа существующих объектов муниципального имущества, с учетом поступивших предложений указанных в  пункте 2.3 настоящего Положения лиц, ежегодно разрабатывает Прогнозный план (программу) приватизации и выносит не позднее 1 октября текущего года на рассмотрение комиссии по приватизации имущества муниципального образования город Нефтеюганск, </w:t>
      </w:r>
      <w:r w:rsidR="002B0E35">
        <w:rPr>
          <w:sz w:val="28"/>
          <w:szCs w:val="28"/>
        </w:rPr>
        <w:t xml:space="preserve">которая формируется распоряжением администрации города Нефтеюганска из представителей </w:t>
      </w:r>
      <w:r>
        <w:rPr>
          <w:sz w:val="28"/>
          <w:szCs w:val="28"/>
        </w:rPr>
        <w:t xml:space="preserve"> администрации города Нефтеюганска, Думы города Нефтеюганска</w:t>
      </w:r>
      <w:r w:rsidR="002334C6">
        <w:rPr>
          <w:sz w:val="28"/>
          <w:szCs w:val="28"/>
        </w:rPr>
        <w:t xml:space="preserve">                           (по согласованию)</w:t>
      </w:r>
      <w:r>
        <w:rPr>
          <w:sz w:val="28"/>
          <w:szCs w:val="28"/>
        </w:rPr>
        <w:t>, Координационного совета по развитию малого и среднего предпринимательства при администрации города Нефтеюганска</w:t>
      </w:r>
      <w:r w:rsidR="002334C6">
        <w:rPr>
          <w:sz w:val="28"/>
          <w:szCs w:val="28"/>
        </w:rPr>
        <w:t xml:space="preserve">                           (по согласованию)</w:t>
      </w:r>
      <w:r>
        <w:rPr>
          <w:sz w:val="28"/>
          <w:szCs w:val="28"/>
        </w:rPr>
        <w:t>, председател</w:t>
      </w:r>
      <w:r w:rsidR="002B0E35">
        <w:rPr>
          <w:sz w:val="28"/>
          <w:szCs w:val="28"/>
        </w:rPr>
        <w:t>я</w:t>
      </w:r>
      <w:r>
        <w:rPr>
          <w:sz w:val="28"/>
          <w:szCs w:val="28"/>
        </w:rPr>
        <w:t xml:space="preserve"> Общественного совета города Нефтеюганска.». 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29ED" w:rsidRPr="00A72FEE">
        <w:rPr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BEA" w:rsidRPr="00022DFC" w:rsidRDefault="003E1867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6BEA" w:rsidRPr="00022DFC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D6BEA" w:rsidRPr="00022DFC" w:rsidRDefault="00ED0565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EA" w:rsidRPr="00022DFC">
        <w:rPr>
          <w:rFonts w:ascii="Times New Roman" w:hAnsi="Times New Roman" w:cs="Times New Roman"/>
          <w:sz w:val="28"/>
          <w:szCs w:val="28"/>
        </w:rPr>
        <w:t>роект</w:t>
      </w:r>
      <w:r w:rsidR="003E1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43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2B0E35" w:rsidRPr="002B0E35" w:rsidRDefault="002B0E35" w:rsidP="002B0E35">
      <w:pPr>
        <w:pStyle w:val="21"/>
        <w:jc w:val="center"/>
        <w:rPr>
          <w:szCs w:val="28"/>
        </w:rPr>
      </w:pPr>
      <w:r w:rsidRPr="002B0E35">
        <w:rPr>
          <w:szCs w:val="28"/>
        </w:rPr>
        <w:t xml:space="preserve">«О внесении изменения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ED0565" w:rsidRPr="00ED0565" w:rsidRDefault="00ED0565" w:rsidP="00ED0565">
      <w:pPr>
        <w:pStyle w:val="21"/>
        <w:jc w:val="center"/>
        <w:rPr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4D0FE2" w:rsidRPr="00022DFC" w:rsidTr="00812C81">
        <w:trPr>
          <w:cantSplit/>
          <w:trHeight w:val="240"/>
        </w:trPr>
        <w:tc>
          <w:tcPr>
            <w:tcW w:w="4820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022DFC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 w:rsidR="00B9621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0834CB" w:rsidP="000834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2B0E35">
              <w:rPr>
                <w:rFonts w:ascii="Times New Roman" w:hAnsi="Times New Roman" w:cs="Times New Roman"/>
                <w:sz w:val="28"/>
                <w:szCs w:val="28"/>
              </w:rPr>
              <w:t xml:space="preserve">Лагойда </w:t>
            </w: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BB05CA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4D0FE2" w:rsidRPr="002F2F09" w:rsidRDefault="004D0FE2" w:rsidP="004D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8939D2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М.Г.Виер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ED" w:rsidRPr="002F2F09" w:rsidTr="003329ED">
        <w:trPr>
          <w:cantSplit/>
          <w:trHeight w:val="240"/>
        </w:trPr>
        <w:tc>
          <w:tcPr>
            <w:tcW w:w="4820" w:type="dxa"/>
          </w:tcPr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3329ED" w:rsidRPr="008939D2" w:rsidRDefault="003329ED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29ED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ED" w:rsidRPr="002F2F09" w:rsidRDefault="002B0E35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Э.Г.Пшонко </w:t>
            </w:r>
          </w:p>
        </w:tc>
      </w:tr>
    </w:tbl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329ED">
        <w:rPr>
          <w:rFonts w:ascii="Times New Roman" w:hAnsi="Times New Roman" w:cs="Times New Roman"/>
          <w:sz w:val="28"/>
          <w:szCs w:val="28"/>
        </w:rPr>
        <w:t xml:space="preserve">корпоративного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32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E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Е.Е.Василенко. 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23 78 38.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B2" w:rsidRDefault="00A674B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A674B2" w:rsidRDefault="00A674B2" w:rsidP="004D0FE2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4D0FE2" w:rsidRDefault="004D0FE2" w:rsidP="004D0FE2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</w:t>
      </w:r>
      <w:r w:rsidR="00BB05CA">
        <w:rPr>
          <w:sz w:val="28"/>
          <w:szCs w:val="28"/>
        </w:rPr>
        <w:t>муниципального имущества</w:t>
      </w:r>
      <w:r w:rsidR="00A674B2">
        <w:rPr>
          <w:sz w:val="28"/>
          <w:szCs w:val="28"/>
        </w:rPr>
        <w:t>.</w:t>
      </w:r>
    </w:p>
    <w:sectPr w:rsidR="004D0FE2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C9" w:rsidRDefault="007D11C9">
      <w:r>
        <w:separator/>
      </w:r>
    </w:p>
  </w:endnote>
  <w:endnote w:type="continuationSeparator" w:id="1">
    <w:p w:rsidR="007D11C9" w:rsidRDefault="007D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8A3F2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C9" w:rsidRDefault="007D11C9">
      <w:r>
        <w:separator/>
      </w:r>
    </w:p>
  </w:footnote>
  <w:footnote w:type="continuationSeparator" w:id="1">
    <w:p w:rsidR="007D11C9" w:rsidRDefault="007D1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8A3F23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1625D7" w:rsidRDefault="008A3F23">
        <w:pPr>
          <w:pStyle w:val="a3"/>
          <w:jc w:val="center"/>
        </w:pPr>
        <w:fldSimple w:instr=" PAGE   \* MERGEFORMAT ">
          <w:r w:rsidR="00381882">
            <w:rPr>
              <w:noProof/>
            </w:rPr>
            <w:t>3</w:t>
          </w:r>
        </w:fldSimple>
      </w:p>
    </w:sdtContent>
  </w:sdt>
  <w:p w:rsidR="001625D7" w:rsidRDefault="001625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6F5C-A88A-401C-8A0F-920BDEF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3</cp:revision>
  <cp:lastPrinted>2017-05-10T05:39:00Z</cp:lastPrinted>
  <dcterms:created xsi:type="dcterms:W3CDTF">2017-12-05T08:33:00Z</dcterms:created>
  <dcterms:modified xsi:type="dcterms:W3CDTF">2017-12-06T13:49:00Z</dcterms:modified>
</cp:coreProperties>
</file>