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206752" w:rsidP="00CC4793">
            <w:pPr>
              <w:autoSpaceDE w:val="0"/>
              <w:autoSpaceDN w:val="0"/>
              <w:adjustRightInd w:val="0"/>
              <w:jc w:val="both"/>
              <w:rPr>
                <w:sz w:val="28"/>
                <w:szCs w:val="28"/>
              </w:rPr>
            </w:pPr>
            <w:r>
              <w:rPr>
                <w:sz w:val="28"/>
                <w:szCs w:val="28"/>
              </w:rPr>
              <w:t>28.06.2017                                                                                                      № 412-п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решением Думы города Нефтеюганска от 28.04.2016 №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w:t>
      </w:r>
      <w:proofErr w:type="gramEnd"/>
      <w:r>
        <w:rPr>
          <w:sz w:val="28"/>
          <w:szCs w:val="28"/>
        </w:rPr>
        <w:t xml:space="preserve"> </w:t>
      </w:r>
      <w:proofErr w:type="gramStart"/>
      <w:r w:rsidRPr="00C00597">
        <w:rPr>
          <w:sz w:val="28"/>
          <w:szCs w:val="28"/>
        </w:rPr>
        <w:t>№ 587-п, от 23.06.2014 № 712-п, от 12.09.2014 № 1038-п, от 16.10.2014                     № 1163-п, от 12.11.2014 № 1244-п, от 11.12.2014 № 1385-п, от 06.02.2015                   № 83-п, от 24.03.2015 №  224-п, 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w:t>
      </w:r>
      <w:proofErr w:type="gramEnd"/>
      <w:r w:rsidR="00E415FF" w:rsidRPr="00C00597">
        <w:rPr>
          <w:sz w:val="28"/>
          <w:szCs w:val="28"/>
        </w:rPr>
        <w:t xml:space="preserve"> № </w:t>
      </w:r>
      <w:proofErr w:type="gramStart"/>
      <w:r w:rsidR="00E415FF" w:rsidRPr="00C00597">
        <w:rPr>
          <w:sz w:val="28"/>
          <w:szCs w:val="28"/>
        </w:rPr>
        <w:t>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0077603C">
        <w:rPr>
          <w:sz w:val="28"/>
          <w:szCs w:val="28"/>
        </w:rPr>
        <w:t>, от 01.06.2017 № 337-п</w:t>
      </w:r>
      <w:r w:rsidRPr="00C00597">
        <w:rPr>
          <w:sz w:val="28"/>
          <w:szCs w:val="28"/>
        </w:rPr>
        <w:t>) 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E47F4D" w:rsidRPr="00EC6CB1" w:rsidRDefault="00E47F4D" w:rsidP="00E47F4D">
            <w:pPr>
              <w:jc w:val="both"/>
              <w:rPr>
                <w:sz w:val="28"/>
                <w:szCs w:val="28"/>
              </w:rPr>
            </w:pPr>
            <w:r w:rsidRPr="00EC6CB1">
              <w:rPr>
                <w:sz w:val="28"/>
                <w:szCs w:val="28"/>
              </w:rPr>
              <w:t>Общий объем финансирования муниципальной программы</w:t>
            </w:r>
          </w:p>
          <w:p w:rsidR="00E47F4D" w:rsidRPr="00EC6CB1" w:rsidRDefault="00E47F4D" w:rsidP="00E47F4D">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4 6</w:t>
            </w:r>
            <w:r w:rsidR="0077603C">
              <w:rPr>
                <w:sz w:val="28"/>
                <w:szCs w:val="28"/>
              </w:rPr>
              <w:t>82</w:t>
            </w:r>
            <w:r>
              <w:rPr>
                <w:sz w:val="28"/>
                <w:szCs w:val="28"/>
              </w:rPr>
              <w:t> </w:t>
            </w:r>
            <w:r w:rsidR="0077603C">
              <w:rPr>
                <w:sz w:val="28"/>
                <w:szCs w:val="28"/>
              </w:rPr>
              <w:t>143</w:t>
            </w:r>
            <w:r>
              <w:rPr>
                <w:sz w:val="28"/>
                <w:szCs w:val="28"/>
              </w:rPr>
              <w:t>,</w:t>
            </w:r>
            <w:r w:rsidR="0077603C">
              <w:rPr>
                <w:sz w:val="28"/>
                <w:szCs w:val="28"/>
              </w:rPr>
              <w:t>745</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E47F4D" w:rsidRPr="00EC6CB1" w:rsidRDefault="00E47F4D" w:rsidP="00E47F4D">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E47F4D" w:rsidRPr="00EC6CB1" w:rsidRDefault="00E47F4D" w:rsidP="00E47F4D">
            <w:pPr>
              <w:jc w:val="both"/>
              <w:rPr>
                <w:sz w:val="28"/>
                <w:szCs w:val="28"/>
              </w:rPr>
            </w:pPr>
            <w:r w:rsidRPr="00EC6CB1">
              <w:rPr>
                <w:sz w:val="28"/>
                <w:szCs w:val="28"/>
              </w:rPr>
              <w:lastRenderedPageBreak/>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5</w:t>
            </w:r>
            <w:r w:rsidR="0077603C">
              <w:rPr>
                <w:sz w:val="28"/>
                <w:szCs w:val="28"/>
              </w:rPr>
              <w:t>65</w:t>
            </w:r>
            <w:r>
              <w:rPr>
                <w:sz w:val="28"/>
                <w:szCs w:val="28"/>
              </w:rPr>
              <w:t> </w:t>
            </w:r>
            <w:r w:rsidR="0077603C">
              <w:rPr>
                <w:sz w:val="28"/>
                <w:szCs w:val="28"/>
              </w:rPr>
              <w:t>339</w:t>
            </w:r>
            <w:r>
              <w:rPr>
                <w:sz w:val="28"/>
                <w:szCs w:val="28"/>
              </w:rPr>
              <w:t>,</w:t>
            </w:r>
            <w:r w:rsidR="0077603C">
              <w:rPr>
                <w:sz w:val="28"/>
                <w:szCs w:val="28"/>
              </w:rPr>
              <w:t>226</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 xml:space="preserve">570 339,736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2019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В том числе:</w:t>
            </w:r>
          </w:p>
          <w:p w:rsidR="00E47F4D" w:rsidRPr="00EC6CB1" w:rsidRDefault="00E47F4D" w:rsidP="00E47F4D">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 xml:space="preserve">3 330 056,157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462 670,175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Pr>
                <w:sz w:val="28"/>
                <w:szCs w:val="28"/>
              </w:rPr>
              <w:t xml:space="preserve">Приносящая доход деятельность –                        </w:t>
            </w:r>
            <w:r w:rsidR="000B50D3">
              <w:rPr>
                <w:sz w:val="28"/>
                <w:szCs w:val="28"/>
              </w:rPr>
              <w:t>596 508,053</w:t>
            </w:r>
            <w:r w:rsidRPr="00EC6CB1">
              <w:rPr>
                <w:sz w:val="28"/>
                <w:szCs w:val="28"/>
              </w:rPr>
              <w:t xml:space="preserve"> 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0B50D3">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Pr>
                <w:sz w:val="28"/>
                <w:szCs w:val="28"/>
              </w:rPr>
              <w:t>755 5</w:t>
            </w:r>
            <w:r w:rsidR="000B50D3">
              <w:rPr>
                <w:sz w:val="28"/>
                <w:szCs w:val="28"/>
              </w:rPr>
              <w:t>7</w:t>
            </w:r>
            <w:r>
              <w:rPr>
                <w:sz w:val="28"/>
                <w:szCs w:val="28"/>
              </w:rPr>
              <w:t xml:space="preserve">9,535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25 </w:t>
            </w:r>
            <w:r w:rsidR="000B50D3">
              <w:rPr>
                <w:sz w:val="28"/>
                <w:szCs w:val="28"/>
              </w:rPr>
              <w:t>521</w:t>
            </w:r>
            <w:r>
              <w:rPr>
                <w:sz w:val="28"/>
                <w:szCs w:val="28"/>
              </w:rPr>
              <w:t>,070</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2018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tabs>
                <w:tab w:val="left" w:pos="709"/>
              </w:tabs>
              <w:jc w:val="both"/>
              <w:rPr>
                <w:sz w:val="28"/>
                <w:szCs w:val="28"/>
              </w:rPr>
            </w:pPr>
            <w:r w:rsidRPr="00EC6CB1">
              <w:rPr>
                <w:sz w:val="28"/>
                <w:szCs w:val="28"/>
              </w:rPr>
              <w:t xml:space="preserve">2020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7603C">
          <w:headerReference w:type="default" r:id="rId9"/>
          <w:footerReference w:type="even" r:id="rId10"/>
          <w:pgSz w:w="11906" w:h="16838" w:code="9"/>
          <w:pgMar w:top="709" w:right="567" w:bottom="568"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97426D" w:rsidP="00490168">
            <w:pPr>
              <w:ind w:left="987"/>
              <w:rPr>
                <w:sz w:val="16"/>
                <w:szCs w:val="16"/>
              </w:rPr>
            </w:pPr>
            <w:r w:rsidRPr="00880B9D">
              <w:rPr>
                <w:sz w:val="28"/>
                <w:szCs w:val="28"/>
              </w:rPr>
              <w:t xml:space="preserve">от </w:t>
            </w:r>
            <w:r w:rsidR="00490168">
              <w:rPr>
                <w:sz w:val="28"/>
                <w:szCs w:val="28"/>
              </w:rPr>
              <w:t xml:space="preserve">28.06.2017 </w:t>
            </w:r>
            <w:r w:rsidR="009A4BA3" w:rsidRPr="009A4BA3">
              <w:rPr>
                <w:sz w:val="28"/>
                <w:szCs w:val="28"/>
              </w:rPr>
              <w:t>№</w:t>
            </w:r>
            <w:r w:rsidR="00490168">
              <w:rPr>
                <w:sz w:val="28"/>
                <w:szCs w:val="28"/>
              </w:rPr>
              <w:t xml:space="preserve"> 412-п</w:t>
            </w:r>
            <w:r>
              <w:rPr>
                <w:sz w:val="16"/>
                <w:szCs w:val="16"/>
              </w:rPr>
              <w:tab/>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426CF6" w:rsidTr="00426CF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426CF6">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426CF6">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426CF6">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426CF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426CF6">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15 417,087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r>
      <w:tr w:rsidR="00426CF6" w:rsidTr="00426CF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r>
      <w:tr w:rsidR="00426CF6" w:rsidTr="00426CF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r>
      <w:tr w:rsidR="00426CF6" w:rsidTr="00426CF6">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3 550 067,467</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538 122,251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r>
      <w:tr w:rsidR="00426CF6" w:rsidTr="00426CF6">
        <w:trPr>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119 </w:t>
            </w:r>
            <w:r w:rsidR="00532A09" w:rsidRPr="00532A09">
              <w:rPr>
                <w:sz w:val="18"/>
                <w:szCs w:val="18"/>
              </w:rPr>
              <w:t>929</w:t>
            </w:r>
            <w:r w:rsidRPr="00532A09">
              <w:rPr>
                <w:sz w:val="18"/>
                <w:szCs w:val="18"/>
              </w:rPr>
              <w:t>,774</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21 </w:t>
            </w:r>
            <w:r w:rsidR="00532A09" w:rsidRPr="00532A09">
              <w:rPr>
                <w:sz w:val="18"/>
                <w:szCs w:val="18"/>
              </w:rPr>
              <w:t>533</w:t>
            </w:r>
            <w:r w:rsidRPr="00532A09">
              <w:rPr>
                <w:sz w:val="18"/>
                <w:szCs w:val="18"/>
              </w:rPr>
              <w:t>,884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r>
      <w:tr w:rsidR="00426CF6" w:rsidTr="00426CF6">
        <w:trPr>
          <w:trHeight w:val="690"/>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2 833 629,640</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439 440,386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r>
      <w:tr w:rsidR="00426CF6" w:rsidTr="00426CF6">
        <w:trPr>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65344" w:rsidRDefault="00532A09" w:rsidP="00426CF6">
            <w:pPr>
              <w:jc w:val="center"/>
              <w:rPr>
                <w:sz w:val="18"/>
                <w:szCs w:val="18"/>
                <w:highlight w:val="yellow"/>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55497" w:rsidRDefault="00426CF6" w:rsidP="00426CF6">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532A09" w:rsidP="00426CF6">
            <w:pPr>
              <w:jc w:val="center"/>
              <w:rPr>
                <w:sz w:val="18"/>
                <w:szCs w:val="18"/>
              </w:rPr>
            </w:pPr>
            <w:r>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3 609 216,617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542 715,797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r>
      <w:tr w:rsidR="00426CF6" w:rsidTr="00426CF6">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360F03" w:rsidP="00532A09">
            <w:pPr>
              <w:jc w:val="center"/>
              <w:rPr>
                <w:sz w:val="18"/>
                <w:szCs w:val="18"/>
              </w:rPr>
            </w:pPr>
            <w:r w:rsidRPr="00532A09">
              <w:rPr>
                <w:sz w:val="18"/>
                <w:szCs w:val="18"/>
              </w:rPr>
              <w:t>128 </w:t>
            </w:r>
            <w:r w:rsidR="00532A09" w:rsidRPr="00532A09">
              <w:rPr>
                <w:sz w:val="18"/>
                <w:szCs w:val="18"/>
              </w:rPr>
              <w:t>926</w:t>
            </w:r>
            <w:r w:rsidRPr="00532A09">
              <w:rPr>
                <w:sz w:val="18"/>
                <w:szCs w:val="18"/>
              </w:rPr>
              <w:t>,135</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360F03" w:rsidP="00532A09">
            <w:pPr>
              <w:jc w:val="center"/>
              <w:rPr>
                <w:sz w:val="18"/>
                <w:szCs w:val="18"/>
              </w:rPr>
            </w:pPr>
            <w:r w:rsidRPr="00532A09">
              <w:rPr>
                <w:sz w:val="18"/>
                <w:szCs w:val="18"/>
              </w:rPr>
              <w:t>22 </w:t>
            </w:r>
            <w:r w:rsidR="00532A09" w:rsidRPr="00532A09">
              <w:rPr>
                <w:sz w:val="18"/>
                <w:szCs w:val="18"/>
              </w:rPr>
              <w:t>947</w:t>
            </w:r>
            <w:r w:rsidRPr="00532A09">
              <w:rPr>
                <w:sz w:val="18"/>
                <w:szCs w:val="18"/>
              </w:rPr>
              <w:t>,070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360F03">
            <w:pPr>
              <w:jc w:val="center"/>
              <w:rPr>
                <w:sz w:val="18"/>
                <w:szCs w:val="18"/>
              </w:rPr>
            </w:pPr>
            <w:r w:rsidRPr="00360F03">
              <w:rPr>
                <w:sz w:val="18"/>
                <w:szCs w:val="18"/>
              </w:rPr>
              <w:t>2 883</w:t>
            </w:r>
            <w:r w:rsidR="00360F03" w:rsidRPr="00360F03">
              <w:rPr>
                <w:sz w:val="18"/>
                <w:szCs w:val="18"/>
              </w:rPr>
              <w:t> 782,429</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360F03">
            <w:pPr>
              <w:jc w:val="center"/>
              <w:rPr>
                <w:sz w:val="18"/>
                <w:szCs w:val="18"/>
              </w:rPr>
            </w:pPr>
            <w:r w:rsidRPr="00360F03">
              <w:rPr>
                <w:sz w:val="18"/>
                <w:szCs w:val="18"/>
              </w:rPr>
              <w:t>442</w:t>
            </w:r>
            <w:r w:rsidR="00360F03" w:rsidRPr="00360F03">
              <w:rPr>
                <w:sz w:val="18"/>
                <w:szCs w:val="18"/>
              </w:rPr>
              <w:t> 620,746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426CF6">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426CF6" w:rsidTr="00426CF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12</w:t>
            </w:r>
          </w:p>
        </w:tc>
      </w:tr>
      <w:tr w:rsidR="00426CF6" w:rsidTr="00426CF6">
        <w:trPr>
          <w:trHeight w:val="43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944 561,244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3 569,005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309 809,746</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995,005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474"/>
        </w:trPr>
        <w:tc>
          <w:tcPr>
            <w:tcW w:w="1277" w:type="dxa"/>
            <w:vMerge w:val="restart"/>
            <w:tcBorders>
              <w:top w:val="single" w:sz="4" w:space="0" w:color="auto"/>
              <w:left w:val="single" w:sz="4" w:space="0" w:color="auto"/>
              <w:right w:val="single" w:sz="4" w:space="0" w:color="auto"/>
            </w:tcBorders>
            <w:hideMark/>
          </w:tcPr>
          <w:p w:rsidR="00426CF6" w:rsidRPr="00960796" w:rsidRDefault="00426CF6"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426CF6" w:rsidRPr="00960796" w:rsidRDefault="00426CF6"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1260"/>
        </w:trPr>
        <w:tc>
          <w:tcPr>
            <w:tcW w:w="1277" w:type="dxa"/>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360F03">
            <w:pPr>
              <w:jc w:val="center"/>
              <w:rPr>
                <w:sz w:val="18"/>
                <w:szCs w:val="18"/>
              </w:rPr>
            </w:pPr>
            <w:r w:rsidRPr="00360F03">
              <w:rPr>
                <w:sz w:val="18"/>
                <w:szCs w:val="18"/>
              </w:rPr>
              <w:t>1</w:t>
            </w:r>
            <w:r w:rsidR="00360F03" w:rsidRPr="00360F03">
              <w:rPr>
                <w:sz w:val="18"/>
                <w:szCs w:val="18"/>
              </w:rPr>
              <w:t> 072 927,128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22 623,429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r>
      <w:tr w:rsidR="00426CF6" w:rsidTr="00426CF6">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446 273,728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20 049,429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570"/>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4 682 143,745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565 339,226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r>
      <w:tr w:rsidR="00426CF6" w:rsidTr="00426CF6">
        <w:trPr>
          <w:trHeight w:val="760"/>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532A09" w:rsidRDefault="00360F03" w:rsidP="00532A09">
            <w:pPr>
              <w:jc w:val="center"/>
              <w:rPr>
                <w:sz w:val="18"/>
                <w:szCs w:val="18"/>
              </w:rPr>
            </w:pPr>
            <w:r w:rsidRPr="00532A09">
              <w:rPr>
                <w:sz w:val="18"/>
                <w:szCs w:val="18"/>
              </w:rPr>
              <w:t>755 5</w:t>
            </w:r>
            <w:r w:rsidR="00532A09" w:rsidRPr="00532A09">
              <w:rPr>
                <w:sz w:val="18"/>
                <w:szCs w:val="18"/>
              </w:rPr>
              <w:t>79</w:t>
            </w:r>
            <w:r w:rsidRPr="00532A09">
              <w:rPr>
                <w:sz w:val="18"/>
                <w:szCs w:val="18"/>
              </w:rPr>
              <w:t>,535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360F03" w:rsidP="00532A09">
            <w:pPr>
              <w:jc w:val="center"/>
              <w:rPr>
                <w:sz w:val="18"/>
                <w:szCs w:val="18"/>
              </w:rPr>
            </w:pPr>
            <w:r w:rsidRPr="00532A09">
              <w:rPr>
                <w:sz w:val="18"/>
                <w:szCs w:val="18"/>
              </w:rPr>
              <w:t>25 </w:t>
            </w:r>
            <w:r w:rsidR="00532A09" w:rsidRPr="00532A09">
              <w:rPr>
                <w:sz w:val="18"/>
                <w:szCs w:val="18"/>
              </w:rPr>
              <w:t>521</w:t>
            </w:r>
            <w:r w:rsidRPr="00532A09">
              <w:rPr>
                <w:sz w:val="18"/>
                <w:szCs w:val="18"/>
              </w:rPr>
              <w:t>,070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30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758"/>
        </w:trPr>
        <w:tc>
          <w:tcPr>
            <w:tcW w:w="4962" w:type="dxa"/>
            <w:gridSpan w:val="5"/>
            <w:vMerge w:val="restart"/>
            <w:tcBorders>
              <w:top w:val="single" w:sz="4" w:space="0" w:color="auto"/>
              <w:left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3 330 056,157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462 670,175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460 756,112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r>
      <w:tr w:rsidR="00426CF6" w:rsidTr="00426CF6">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В том числе:</w:t>
            </w:r>
          </w:p>
        </w:tc>
      </w:tr>
      <w:tr w:rsidR="00426CF6" w:rsidTr="00426CF6">
        <w:trPr>
          <w:trHeight w:val="315"/>
        </w:trPr>
        <w:tc>
          <w:tcPr>
            <w:tcW w:w="3261" w:type="dxa"/>
            <w:gridSpan w:val="3"/>
            <w:tcBorders>
              <w:top w:val="nil"/>
              <w:left w:val="single" w:sz="4" w:space="0" w:color="auto"/>
              <w:bottom w:val="nil"/>
            </w:tcBorders>
            <w:shd w:val="clear" w:color="auto" w:fill="auto"/>
            <w:noWrap/>
            <w:vAlign w:val="center"/>
          </w:tcPr>
          <w:p w:rsidR="00426CF6" w:rsidRPr="00552380" w:rsidRDefault="00426CF6"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532A09" w:rsidRDefault="00532A09" w:rsidP="00360F03">
            <w:pPr>
              <w:jc w:val="center"/>
              <w:rPr>
                <w:sz w:val="18"/>
                <w:szCs w:val="18"/>
              </w:rPr>
            </w:pPr>
            <w:r w:rsidRPr="00532A09">
              <w:rPr>
                <w:sz w:val="18"/>
                <w:szCs w:val="18"/>
              </w:rPr>
              <w:t>3 740 560,832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532A09" w:rsidRDefault="00426CF6" w:rsidP="00426CF6">
            <w:pPr>
              <w:jc w:val="right"/>
              <w:rPr>
                <w:sz w:val="18"/>
                <w:szCs w:val="18"/>
              </w:rPr>
            </w:pPr>
            <w:r w:rsidRPr="00532A09">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532A09" w:rsidRDefault="00426CF6" w:rsidP="00426CF6">
            <w:pPr>
              <w:jc w:val="right"/>
              <w:rPr>
                <w:sz w:val="18"/>
                <w:szCs w:val="18"/>
              </w:rPr>
            </w:pPr>
            <w:r w:rsidRPr="00532A09">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532A09" w:rsidRDefault="00426CF6" w:rsidP="00426CF6">
            <w:pPr>
              <w:jc w:val="right"/>
              <w:rPr>
                <w:sz w:val="18"/>
                <w:szCs w:val="18"/>
              </w:rPr>
            </w:pPr>
            <w:r w:rsidRPr="00532A09">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532A09" w:rsidRDefault="00532A09" w:rsidP="00360F03">
            <w:pPr>
              <w:jc w:val="center"/>
              <w:rPr>
                <w:sz w:val="18"/>
                <w:szCs w:val="18"/>
              </w:rPr>
            </w:pPr>
            <w:r w:rsidRPr="00532A09">
              <w:rPr>
                <w:sz w:val="18"/>
                <w:szCs w:val="18"/>
              </w:rPr>
              <w:t>560 735,827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r>
      <w:tr w:rsidR="00426CF6" w:rsidTr="00426CF6">
        <w:trPr>
          <w:trHeight w:val="20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426CF6" w:rsidRPr="00552380" w:rsidRDefault="00426CF6"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3A2DDB"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54078B" w:rsidRDefault="00360F03" w:rsidP="0054078B">
            <w:pPr>
              <w:jc w:val="center"/>
              <w:rPr>
                <w:sz w:val="18"/>
                <w:szCs w:val="18"/>
              </w:rPr>
            </w:pPr>
            <w:r w:rsidRPr="0054078B">
              <w:rPr>
                <w:sz w:val="18"/>
                <w:szCs w:val="18"/>
              </w:rPr>
              <w:t>128 </w:t>
            </w:r>
            <w:r w:rsidR="0054078B" w:rsidRPr="0054078B">
              <w:rPr>
                <w:sz w:val="18"/>
                <w:szCs w:val="18"/>
              </w:rPr>
              <w:t>926</w:t>
            </w:r>
            <w:r w:rsidRPr="0054078B">
              <w:rPr>
                <w:sz w:val="18"/>
                <w:szCs w:val="18"/>
              </w:rPr>
              <w:t>,135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54078B" w:rsidRDefault="00360F03" w:rsidP="0054078B">
            <w:pPr>
              <w:jc w:val="center"/>
              <w:rPr>
                <w:sz w:val="18"/>
                <w:szCs w:val="18"/>
              </w:rPr>
            </w:pPr>
            <w:r w:rsidRPr="0054078B">
              <w:rPr>
                <w:sz w:val="18"/>
                <w:szCs w:val="18"/>
              </w:rPr>
              <w:t>22 </w:t>
            </w:r>
            <w:r w:rsidR="0054078B" w:rsidRPr="0054078B">
              <w:rPr>
                <w:sz w:val="18"/>
                <w:szCs w:val="18"/>
              </w:rPr>
              <w:t>947</w:t>
            </w:r>
            <w:r w:rsidRPr="0054078B">
              <w:rPr>
                <w:sz w:val="18"/>
                <w:szCs w:val="18"/>
              </w:rPr>
              <w:t>,070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360F03" w:rsidRDefault="00426CF6" w:rsidP="00360F03">
            <w:pPr>
              <w:jc w:val="center"/>
              <w:rPr>
                <w:sz w:val="18"/>
                <w:szCs w:val="18"/>
              </w:rPr>
            </w:pPr>
            <w:r w:rsidRPr="00360F03">
              <w:rPr>
                <w:sz w:val="18"/>
                <w:szCs w:val="18"/>
              </w:rPr>
              <w:t>3 015</w:t>
            </w:r>
            <w:r w:rsidR="00360F03" w:rsidRPr="00360F03">
              <w:rPr>
                <w:sz w:val="18"/>
                <w:szCs w:val="18"/>
              </w:rPr>
              <w:t> 126,644</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360F03">
            <w:pPr>
              <w:jc w:val="center"/>
              <w:rPr>
                <w:sz w:val="18"/>
                <w:szCs w:val="18"/>
              </w:rPr>
            </w:pPr>
            <w:r w:rsidRPr="00360F03">
              <w:rPr>
                <w:sz w:val="18"/>
                <w:szCs w:val="18"/>
              </w:rPr>
              <w:t>460</w:t>
            </w:r>
            <w:r w:rsidR="00360F03" w:rsidRPr="00360F03">
              <w:rPr>
                <w:sz w:val="18"/>
                <w:szCs w:val="18"/>
              </w:rPr>
              <w:t> 640,776</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460 456,942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54078B" w:rsidRDefault="0054078B" w:rsidP="00426CF6">
            <w:pPr>
              <w:jc w:val="center"/>
              <w:rPr>
                <w:sz w:val="18"/>
                <w:szCs w:val="18"/>
              </w:rPr>
            </w:pPr>
            <w:r w:rsidRPr="0054078B">
              <w:rPr>
                <w:sz w:val="18"/>
                <w:szCs w:val="18"/>
              </w:rPr>
              <w:t>596 508,053</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54078B" w:rsidP="00426CF6">
            <w:pPr>
              <w:jc w:val="center"/>
              <w:rPr>
                <w:sz w:val="18"/>
                <w:szCs w:val="18"/>
              </w:rPr>
            </w:pPr>
            <w:r w:rsidRPr="0054078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937 198,370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4 304,229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 xml:space="preserve">Департамент градостроительства </w:t>
            </w:r>
            <w:r w:rsidR="00A63E4D">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BF666B" w:rsidRDefault="00426CF6" w:rsidP="00BF666B">
            <w:pPr>
              <w:jc w:val="center"/>
              <w:rPr>
                <w:sz w:val="18"/>
                <w:szCs w:val="18"/>
              </w:rPr>
            </w:pPr>
            <w:r w:rsidRPr="00BF666B">
              <w:rPr>
                <w:sz w:val="18"/>
                <w:szCs w:val="18"/>
              </w:rPr>
              <w:t>310</w:t>
            </w:r>
            <w:r w:rsidR="00BF666B" w:rsidRPr="00BF666B">
              <w:rPr>
                <w:sz w:val="18"/>
                <w:szCs w:val="18"/>
              </w:rPr>
              <w:t> 544,970</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1 730,229</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72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3:</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1871E1">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A9" w:rsidRDefault="007E0FA9" w:rsidP="0097426D">
      <w:r>
        <w:separator/>
      </w:r>
    </w:p>
  </w:endnote>
  <w:endnote w:type="continuationSeparator" w:id="0">
    <w:p w:rsidR="007E0FA9" w:rsidRDefault="007E0FA9"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D3" w:rsidRDefault="000B50D3"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50D3" w:rsidRDefault="000B50D3"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A9" w:rsidRDefault="007E0FA9" w:rsidP="0097426D">
      <w:r>
        <w:separator/>
      </w:r>
    </w:p>
  </w:footnote>
  <w:footnote w:type="continuationSeparator" w:id="0">
    <w:p w:rsidR="007E0FA9" w:rsidRDefault="007E0FA9"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D3" w:rsidRDefault="00AD4BF8">
    <w:pPr>
      <w:pStyle w:val="af1"/>
      <w:jc w:val="center"/>
    </w:pPr>
    <w:r>
      <w:fldChar w:fldCharType="begin"/>
    </w:r>
    <w:r>
      <w:instrText>PAGE   \* MERGEFORMAT</w:instrText>
    </w:r>
    <w:r>
      <w:fldChar w:fldCharType="separate"/>
    </w:r>
    <w:r w:rsidR="001871E1">
      <w:rPr>
        <w:noProof/>
      </w:rPr>
      <w:t>5</w:t>
    </w:r>
    <w:r>
      <w:rPr>
        <w:noProof/>
      </w:rPr>
      <w:fldChar w:fldCharType="end"/>
    </w:r>
  </w:p>
  <w:p w:rsidR="000B50D3" w:rsidRDefault="000B50D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6</cp:revision>
  <cp:lastPrinted>2017-06-01T10:54:00Z</cp:lastPrinted>
  <dcterms:created xsi:type="dcterms:W3CDTF">2017-06-01T10:32:00Z</dcterms:created>
  <dcterms:modified xsi:type="dcterms:W3CDTF">2017-07-03T08:37:00Z</dcterms:modified>
</cp:coreProperties>
</file>