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14:anchorId="4C62FF1D" wp14:editId="0CE1D813">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EF051B">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EF051B">
            <w:pPr>
              <w:widowControl w:val="0"/>
              <w:autoSpaceDE w:val="0"/>
              <w:autoSpaceDN w:val="0"/>
              <w:adjustRightInd w:val="0"/>
              <w:jc w:val="center"/>
              <w:rPr>
                <w:b/>
                <w:sz w:val="16"/>
                <w:szCs w:val="16"/>
              </w:rPr>
            </w:pPr>
          </w:p>
          <w:p w:rsidR="0097426D" w:rsidRPr="003727F7" w:rsidRDefault="0097426D" w:rsidP="00EF051B">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EF051B">
            <w:pPr>
              <w:widowControl w:val="0"/>
              <w:autoSpaceDE w:val="0"/>
              <w:autoSpaceDN w:val="0"/>
              <w:adjustRightInd w:val="0"/>
              <w:jc w:val="center"/>
              <w:rPr>
                <w:b/>
                <w:sz w:val="10"/>
                <w:szCs w:val="10"/>
              </w:rPr>
            </w:pPr>
            <w:r w:rsidRPr="003727F7">
              <w:rPr>
                <w:b/>
                <w:sz w:val="10"/>
                <w:szCs w:val="10"/>
              </w:rPr>
              <w:t xml:space="preserve">                              </w:t>
            </w:r>
          </w:p>
          <w:p w:rsidR="0097426D" w:rsidRDefault="0097426D" w:rsidP="00EF051B">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EF051B">
            <w:pPr>
              <w:widowControl w:val="0"/>
              <w:autoSpaceDE w:val="0"/>
              <w:autoSpaceDN w:val="0"/>
              <w:adjustRightInd w:val="0"/>
              <w:jc w:val="center"/>
              <w:rPr>
                <w:b/>
                <w:sz w:val="28"/>
                <w:szCs w:val="28"/>
              </w:rPr>
            </w:pPr>
          </w:p>
          <w:p w:rsidR="0097426D" w:rsidRDefault="0097426D" w:rsidP="00EF051B">
            <w:pPr>
              <w:autoSpaceDE w:val="0"/>
              <w:autoSpaceDN w:val="0"/>
              <w:adjustRightInd w:val="0"/>
              <w:jc w:val="both"/>
              <w:rPr>
                <w:sz w:val="28"/>
                <w:szCs w:val="28"/>
              </w:rPr>
            </w:pPr>
            <w:r>
              <w:rPr>
                <w:sz w:val="28"/>
                <w:szCs w:val="28"/>
              </w:rPr>
              <w:t>14.09.2016                                                                                                № 867-п</w:t>
            </w:r>
          </w:p>
          <w:p w:rsidR="0097426D" w:rsidRDefault="0097426D" w:rsidP="00EF051B">
            <w:pPr>
              <w:autoSpaceDE w:val="0"/>
              <w:autoSpaceDN w:val="0"/>
              <w:adjustRightInd w:val="0"/>
              <w:jc w:val="center"/>
              <w:rPr>
                <w:sz w:val="28"/>
                <w:szCs w:val="28"/>
              </w:rPr>
            </w:pPr>
            <w:r w:rsidRPr="003727F7">
              <w:t>г.Нефтеюганск</w:t>
            </w:r>
          </w:p>
          <w:p w:rsidR="0097426D" w:rsidRPr="00F815D3" w:rsidRDefault="0097426D" w:rsidP="00EF051B">
            <w:pPr>
              <w:rPr>
                <w:sz w:val="28"/>
                <w:szCs w:val="28"/>
              </w:rPr>
            </w:pPr>
          </w:p>
          <w:p w:rsidR="0097426D" w:rsidRPr="00F815D3" w:rsidRDefault="0097426D" w:rsidP="00EF051B">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 xml:space="preserve">16.09.2015 № 869-п, от 12.10.2015 № 978-п, от 18.11.2015 № 1155-п,                   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19.04.2016 № 374-п, от </w:t>
      </w:r>
      <w:r>
        <w:rPr>
          <w:sz w:val="28"/>
          <w:szCs w:val="28"/>
        </w:rPr>
        <w:t xml:space="preserve">30.05.2016 № 506-п, от 06.07.2016 № 693-п, от </w:t>
      </w:r>
      <w:proofErr w:type="gramStart"/>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 xml:space="preserve">троку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EF051B">
        <w:tc>
          <w:tcPr>
            <w:tcW w:w="2694" w:type="dxa"/>
          </w:tcPr>
          <w:p w:rsidR="0097426D" w:rsidRDefault="0097426D" w:rsidP="00EF051B">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97426D" w:rsidRPr="00EC6CB1" w:rsidRDefault="0097426D" w:rsidP="00EF051B">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EF051B">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 xml:space="preserve">4 732 811,947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EF051B">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2016 год – </w:t>
            </w:r>
            <w:r>
              <w:rPr>
                <w:sz w:val="28"/>
                <w:szCs w:val="28"/>
              </w:rPr>
              <w:t>638 424,681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EF051B">
            <w:pPr>
              <w:jc w:val="both"/>
              <w:rPr>
                <w:sz w:val="28"/>
                <w:szCs w:val="28"/>
              </w:rPr>
            </w:pPr>
            <w:r w:rsidRPr="00EC6CB1">
              <w:rPr>
                <w:sz w:val="28"/>
                <w:szCs w:val="28"/>
              </w:rPr>
              <w:lastRenderedPageBreak/>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В том числе:</w:t>
            </w:r>
          </w:p>
          <w:p w:rsidR="0097426D" w:rsidRPr="00EC6CB1" w:rsidRDefault="0097426D" w:rsidP="00EF051B">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 xml:space="preserve">3 342 158,785 </w:t>
            </w:r>
            <w:r w:rsidRPr="00EC6CB1">
              <w:rPr>
                <w:sz w:val="28"/>
                <w:szCs w:val="28"/>
              </w:rPr>
              <w:t>тыс. рублей:</w:t>
            </w:r>
          </w:p>
          <w:p w:rsidR="0097426D" w:rsidRPr="00EC6CB1" w:rsidRDefault="0097426D" w:rsidP="00EF051B">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2016 год – </w:t>
            </w:r>
            <w:r>
              <w:rPr>
                <w:sz w:val="28"/>
                <w:szCs w:val="28"/>
              </w:rPr>
              <w:t>463 950,019</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Pr>
                <w:sz w:val="28"/>
                <w:szCs w:val="28"/>
              </w:rPr>
              <w:t>Приносящая доход деятельность –                        723 743,067</w:t>
            </w:r>
            <w:r w:rsidRPr="00EC6CB1">
              <w:rPr>
                <w:sz w:val="28"/>
                <w:szCs w:val="28"/>
              </w:rPr>
              <w:t xml:space="preserve"> тыс. рублей:</w:t>
            </w:r>
          </w:p>
          <w:p w:rsidR="0097426D" w:rsidRPr="00EC6CB1" w:rsidRDefault="0097426D" w:rsidP="00EF051B">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Pr>
                <w:sz w:val="28"/>
                <w:szCs w:val="28"/>
              </w:rPr>
              <w:t>666 910,095</w:t>
            </w:r>
            <w:r w:rsidRPr="00EC6CB1">
              <w:rPr>
                <w:sz w:val="28"/>
                <w:szCs w:val="28"/>
              </w:rPr>
              <w:t>тыс. рублей:</w:t>
            </w:r>
          </w:p>
          <w:p w:rsidR="0097426D" w:rsidRPr="00EC6CB1" w:rsidRDefault="0097426D" w:rsidP="00EF051B">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2016 год – </w:t>
            </w:r>
            <w:r>
              <w:rPr>
                <w:sz w:val="28"/>
                <w:szCs w:val="28"/>
              </w:rPr>
              <w:t>55 661,897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EF051B">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EF051B">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EF051B">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97426D" w:rsidRDefault="0097426D" w:rsidP="0097426D">
      <w:pPr>
        <w:autoSpaceDE w:val="0"/>
        <w:autoSpaceDN w:val="0"/>
        <w:adjustRightInd w:val="0"/>
        <w:ind w:firstLine="709"/>
        <w:jc w:val="both"/>
        <w:rPr>
          <w:sz w:val="28"/>
          <w:szCs w:val="28"/>
        </w:rPr>
      </w:pPr>
      <w:r>
        <w:rPr>
          <w:sz w:val="28"/>
          <w:szCs w:val="28"/>
        </w:rPr>
        <w:t>2</w:t>
      </w:r>
      <w:r w:rsidRPr="007F6B82">
        <w:rPr>
          <w:sz w:val="28"/>
          <w:szCs w:val="28"/>
        </w:rPr>
        <w:t xml:space="preserve">.Директору департамента по делам администрации города </w:t>
      </w:r>
      <w:proofErr w:type="spellStart"/>
      <w:r w:rsidRPr="007F6B82">
        <w:rPr>
          <w:sz w:val="28"/>
          <w:szCs w:val="28"/>
        </w:rPr>
        <w:t>С.И.Нечаевой</w:t>
      </w:r>
      <w:proofErr w:type="spellEnd"/>
      <w:r w:rsidRPr="007F6B82">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97426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97426D" w:rsidP="0097426D">
      <w:pPr>
        <w:jc w:val="both"/>
        <w:rPr>
          <w:sz w:val="28"/>
          <w:szCs w:val="28"/>
        </w:rPr>
      </w:pPr>
      <w:r>
        <w:rPr>
          <w:sz w:val="28"/>
          <w:szCs w:val="28"/>
        </w:rPr>
        <w:t xml:space="preserve">Глава </w:t>
      </w:r>
    </w:p>
    <w:p w:rsidR="0097426D" w:rsidRDefault="0097426D" w:rsidP="0097426D">
      <w:pPr>
        <w:jc w:val="both"/>
        <w:rPr>
          <w:sz w:val="28"/>
          <w:szCs w:val="28"/>
        </w:rPr>
      </w:pPr>
      <w:r>
        <w:rPr>
          <w:sz w:val="28"/>
          <w:szCs w:val="28"/>
        </w:rPr>
        <w:t xml:space="preserve">администрации города </w:t>
      </w:r>
      <w:r>
        <w:rPr>
          <w:sz w:val="28"/>
          <w:szCs w:val="28"/>
        </w:rPr>
        <w:tab/>
      </w:r>
      <w:r>
        <w:rPr>
          <w:sz w:val="28"/>
          <w:szCs w:val="28"/>
        </w:rPr>
        <w:tab/>
      </w:r>
      <w:r>
        <w:rPr>
          <w:sz w:val="28"/>
          <w:szCs w:val="28"/>
        </w:rPr>
        <w:tab/>
      </w:r>
      <w:r w:rsidRPr="003727F7">
        <w:rPr>
          <w:sz w:val="28"/>
          <w:szCs w:val="28"/>
        </w:rPr>
        <w:t xml:space="preserve">         </w:t>
      </w:r>
      <w:r>
        <w:rPr>
          <w:sz w:val="28"/>
          <w:szCs w:val="28"/>
        </w:rPr>
        <w:tab/>
      </w:r>
      <w:r>
        <w:rPr>
          <w:sz w:val="28"/>
          <w:szCs w:val="28"/>
        </w:rPr>
        <w:tab/>
        <w:t xml:space="preserve">                                 </w:t>
      </w:r>
      <w:proofErr w:type="spellStart"/>
      <w:r>
        <w:rPr>
          <w:sz w:val="28"/>
          <w:szCs w:val="28"/>
        </w:rPr>
        <w:t>В.А.Арчиков</w:t>
      </w:r>
      <w:proofErr w:type="spellEnd"/>
    </w:p>
    <w:p w:rsidR="0097426D" w:rsidRDefault="0097426D" w:rsidP="0097426D">
      <w:pPr>
        <w:jc w:val="both"/>
        <w:rPr>
          <w:sz w:val="28"/>
          <w:szCs w:val="28"/>
        </w:rPr>
      </w:pPr>
    </w:p>
    <w:p w:rsidR="0097426D" w:rsidRDefault="0097426D" w:rsidP="0097426D">
      <w:pPr>
        <w:ind w:left="6372"/>
        <w:rPr>
          <w:sz w:val="28"/>
          <w:szCs w:val="28"/>
        </w:rPr>
      </w:pPr>
    </w:p>
    <w:p w:rsidR="0097426D" w:rsidRDefault="0097426D" w:rsidP="0097426D">
      <w:pPr>
        <w:pStyle w:val="a3"/>
        <w:sectPr w:rsidR="0097426D" w:rsidSect="009F693E">
          <w:headerReference w:type="default" r:id="rId9"/>
          <w:footerReference w:type="even" r:id="rId10"/>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EF051B">
        <w:trPr>
          <w:trHeight w:val="1490"/>
          <w:jc w:val="center"/>
        </w:trPr>
        <w:tc>
          <w:tcPr>
            <w:tcW w:w="10740" w:type="dxa"/>
          </w:tcPr>
          <w:p w:rsidR="0097426D" w:rsidRDefault="0097426D" w:rsidP="00EF051B">
            <w:pPr>
              <w:pStyle w:val="a3"/>
            </w:pPr>
          </w:p>
          <w:p w:rsidR="0097426D" w:rsidRDefault="0097426D" w:rsidP="00EF051B">
            <w:pPr>
              <w:pStyle w:val="a3"/>
            </w:pPr>
          </w:p>
          <w:p w:rsidR="0097426D" w:rsidRDefault="0097426D" w:rsidP="00EF051B">
            <w:pPr>
              <w:pStyle w:val="a3"/>
            </w:pPr>
          </w:p>
        </w:tc>
        <w:tc>
          <w:tcPr>
            <w:tcW w:w="4780" w:type="dxa"/>
          </w:tcPr>
          <w:p w:rsidR="0097426D" w:rsidRDefault="0097426D" w:rsidP="00EF051B">
            <w:pPr>
              <w:ind w:left="987"/>
              <w:rPr>
                <w:sz w:val="28"/>
                <w:szCs w:val="28"/>
              </w:rPr>
            </w:pPr>
          </w:p>
          <w:p w:rsidR="0097426D" w:rsidRDefault="0097426D" w:rsidP="00EF051B">
            <w:pPr>
              <w:ind w:left="987"/>
              <w:rPr>
                <w:sz w:val="28"/>
                <w:szCs w:val="28"/>
              </w:rPr>
            </w:pPr>
          </w:p>
          <w:p w:rsidR="0097426D" w:rsidRDefault="0097426D" w:rsidP="00EF051B">
            <w:pPr>
              <w:ind w:left="987"/>
              <w:rPr>
                <w:sz w:val="28"/>
                <w:szCs w:val="28"/>
              </w:rPr>
            </w:pPr>
          </w:p>
          <w:p w:rsidR="0097426D" w:rsidRPr="00AC3617" w:rsidRDefault="0097426D" w:rsidP="00EF051B">
            <w:pPr>
              <w:ind w:left="987"/>
              <w:rPr>
                <w:sz w:val="28"/>
                <w:szCs w:val="28"/>
              </w:rPr>
            </w:pPr>
            <w:r>
              <w:rPr>
                <w:sz w:val="28"/>
                <w:szCs w:val="28"/>
              </w:rPr>
              <w:t xml:space="preserve">Приложение </w:t>
            </w:r>
          </w:p>
          <w:p w:rsidR="0097426D" w:rsidRDefault="0097426D" w:rsidP="00EF051B">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EF051B">
            <w:pPr>
              <w:ind w:left="987"/>
            </w:pPr>
            <w:r>
              <w:rPr>
                <w:sz w:val="28"/>
                <w:szCs w:val="28"/>
              </w:rPr>
              <w:t>администрации города</w:t>
            </w:r>
            <w:r w:rsidRPr="00471FC0">
              <w:t xml:space="preserve"> </w:t>
            </w:r>
          </w:p>
          <w:p w:rsidR="0097426D" w:rsidRPr="00880B9D" w:rsidRDefault="0097426D" w:rsidP="00EF051B">
            <w:pPr>
              <w:ind w:left="987"/>
              <w:rPr>
                <w:sz w:val="28"/>
                <w:szCs w:val="28"/>
              </w:rPr>
            </w:pPr>
            <w:r w:rsidRPr="00880B9D">
              <w:rPr>
                <w:sz w:val="28"/>
                <w:szCs w:val="28"/>
              </w:rPr>
              <w:t xml:space="preserve">от </w:t>
            </w:r>
            <w:r>
              <w:rPr>
                <w:sz w:val="28"/>
                <w:szCs w:val="28"/>
              </w:rPr>
              <w:t>14.09.2016</w:t>
            </w:r>
            <w:r w:rsidRPr="004F6020">
              <w:rPr>
                <w:sz w:val="28"/>
                <w:szCs w:val="28"/>
              </w:rPr>
              <w:t xml:space="preserve"> №</w:t>
            </w:r>
            <w:r>
              <w:rPr>
                <w:sz w:val="28"/>
                <w:szCs w:val="28"/>
              </w:rPr>
              <w:t xml:space="preserve"> 867-п</w:t>
            </w:r>
          </w:p>
          <w:p w:rsidR="0097426D" w:rsidRPr="00EC6CB1" w:rsidRDefault="0097426D" w:rsidP="00EF051B">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97426D" w:rsidTr="00EF051B">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color w:val="000000"/>
                <w:sz w:val="18"/>
                <w:szCs w:val="18"/>
              </w:rPr>
            </w:pPr>
            <w:r w:rsidRPr="00552380">
              <w:rPr>
                <w:color w:val="000000"/>
                <w:sz w:val="18"/>
                <w:szCs w:val="18"/>
              </w:rPr>
              <w:t>Финансовые затраты на реализацию (тыс. рублей)</w:t>
            </w:r>
          </w:p>
        </w:tc>
      </w:tr>
      <w:tr w:rsidR="0097426D" w:rsidTr="00EF051B">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color w:val="000000"/>
                <w:sz w:val="18"/>
                <w:szCs w:val="18"/>
              </w:rPr>
            </w:pPr>
            <w:r w:rsidRPr="00552380">
              <w:rPr>
                <w:color w:val="000000"/>
                <w:sz w:val="18"/>
                <w:szCs w:val="18"/>
              </w:rPr>
              <w:t>в том числе:</w:t>
            </w:r>
          </w:p>
        </w:tc>
      </w:tr>
      <w:tr w:rsidR="0097426D" w:rsidTr="00EF051B">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2020</w:t>
            </w:r>
          </w:p>
        </w:tc>
      </w:tr>
      <w:tr w:rsidR="0097426D" w:rsidTr="00EF051B">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12</w:t>
            </w:r>
          </w:p>
        </w:tc>
      </w:tr>
      <w:tr w:rsidR="0097426D" w:rsidTr="00EF051B">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EF051B">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EF051B">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EF051B">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3 223,640</w:t>
            </w:r>
          </w:p>
        </w:tc>
      </w:tr>
      <w:tr w:rsidR="0097426D" w:rsidTr="00EF051B">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2 924,470</w:t>
            </w:r>
          </w:p>
        </w:tc>
      </w:tr>
      <w:tr w:rsidR="0097426D" w:rsidTr="00EF051B">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Default="0097426D" w:rsidP="00EF051B">
            <w:pPr>
              <w:jc w:val="center"/>
              <w:rPr>
                <w:sz w:val="18"/>
                <w:szCs w:val="18"/>
              </w:rPr>
            </w:pPr>
          </w:p>
          <w:p w:rsidR="0097426D" w:rsidRDefault="0097426D" w:rsidP="00EF051B">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EF051B">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299,170</w:t>
            </w:r>
          </w:p>
        </w:tc>
      </w:tr>
      <w:tr w:rsidR="0097426D" w:rsidTr="00EF051B">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EF051B">
            <w:pPr>
              <w:jc w:val="center"/>
              <w:rPr>
                <w:sz w:val="18"/>
                <w:szCs w:val="18"/>
              </w:rPr>
            </w:pPr>
            <w:r w:rsidRPr="00960796">
              <w:rPr>
                <w:sz w:val="18"/>
                <w:szCs w:val="18"/>
              </w:rPr>
              <w:t>12</w:t>
            </w:r>
          </w:p>
        </w:tc>
      </w:tr>
      <w:tr w:rsidR="0097426D" w:rsidTr="00EF051B">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2 064,479</w:t>
            </w:r>
          </w:p>
        </w:tc>
      </w:tr>
      <w:tr w:rsidR="0097426D" w:rsidTr="00EF051B">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r>
      <w:tr w:rsidR="0097426D" w:rsidTr="00EF051B">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848,482</w:t>
            </w:r>
          </w:p>
        </w:tc>
      </w:tr>
      <w:tr w:rsidR="0097426D" w:rsidTr="00EF051B">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EF051B">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EF051B">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3 609 127,461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574 950,392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531 911,523</w:t>
            </w:r>
          </w:p>
        </w:tc>
      </w:tr>
      <w:tr w:rsidR="0097426D" w:rsidTr="00EF051B">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45 236,490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2 840 147,904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437 871,727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412 960,102</w:t>
            </w:r>
          </w:p>
        </w:tc>
      </w:tr>
      <w:tr w:rsidR="0097426D" w:rsidTr="00EF051B">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r>
      <w:tr w:rsidR="0097426D" w:rsidTr="00EF051B">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3 676 524,140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577 314,041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537 199,642</w:t>
            </w:r>
          </w:p>
        </w:tc>
      </w:tr>
      <w:tr w:rsidR="0097426D" w:rsidTr="00EF051B">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53 444,095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1 215,997</w:t>
            </w:r>
          </w:p>
        </w:tc>
      </w:tr>
      <w:tr w:rsidR="0097426D" w:rsidTr="00EF051B">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2 899 336,978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439 019,379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417 032,224</w:t>
            </w:r>
          </w:p>
        </w:tc>
      </w:tr>
      <w:tr w:rsidR="0097426D" w:rsidTr="00EF051B">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118 951,421</w:t>
            </w:r>
          </w:p>
        </w:tc>
      </w:tr>
      <w:tr w:rsidR="0097426D" w:rsidTr="00EF051B">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EF051B">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EF051B">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EF051B">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r>
      <w:tr w:rsidR="0097426D" w:rsidTr="00EF051B">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17 982,300</w:t>
            </w:r>
          </w:p>
        </w:tc>
      </w:tr>
      <w:tr w:rsidR="0097426D" w:rsidTr="00EF051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12</w:t>
            </w:r>
          </w:p>
        </w:tc>
      </w:tr>
      <w:tr w:rsidR="0097426D" w:rsidTr="00EF051B">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EF051B">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929 920,747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42 988,540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1 056 287,807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61 110,640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r>
      <w:tr w:rsidR="0097426D" w:rsidTr="00EF051B">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0,000</w:t>
            </w:r>
          </w:p>
        </w:tc>
      </w:tr>
      <w:tr w:rsidR="0097426D" w:rsidTr="00EF051B">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442 821,807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24 930,640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17 982,300</w:t>
            </w:r>
          </w:p>
        </w:tc>
      </w:tr>
      <w:tr w:rsidR="0097426D" w:rsidTr="00EF051B">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4 732 811,947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638 424,681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555 181,942</w:t>
            </w:r>
          </w:p>
        </w:tc>
      </w:tr>
      <w:tr w:rsidR="0097426D" w:rsidTr="00EF051B">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666 910,095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55 661,897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1 215,997</w:t>
            </w:r>
          </w:p>
        </w:tc>
      </w:tr>
      <w:tr w:rsidR="0097426D" w:rsidTr="00EF051B">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3 342 158,785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Pr>
                <w:sz w:val="18"/>
                <w:szCs w:val="18"/>
              </w:rPr>
              <w:t>463 950,019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435 014,524</w:t>
            </w:r>
          </w:p>
        </w:tc>
      </w:tr>
      <w:tr w:rsidR="0097426D" w:rsidTr="00EF051B">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EF051B">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EF051B">
            <w:pPr>
              <w:jc w:val="center"/>
              <w:rPr>
                <w:sz w:val="18"/>
                <w:szCs w:val="18"/>
              </w:rPr>
            </w:pPr>
            <w:r w:rsidRPr="00960796">
              <w:rPr>
                <w:sz w:val="18"/>
                <w:szCs w:val="18"/>
              </w:rPr>
              <w:t>118 951,421</w:t>
            </w:r>
          </w:p>
        </w:tc>
      </w:tr>
      <w:tr w:rsidR="0097426D" w:rsidTr="00EF051B">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EF051B">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EF051B">
            <w:pPr>
              <w:jc w:val="center"/>
              <w:rPr>
                <w:sz w:val="18"/>
                <w:szCs w:val="18"/>
              </w:rPr>
            </w:pPr>
            <w:r w:rsidRPr="00552380">
              <w:rPr>
                <w:sz w:val="18"/>
                <w:szCs w:val="18"/>
              </w:rPr>
              <w:t>12</w:t>
            </w:r>
          </w:p>
        </w:tc>
      </w:tr>
      <w:tr w:rsidR="0097426D" w:rsidTr="00EF051B">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EF051B">
            <w:pPr>
              <w:rPr>
                <w:sz w:val="18"/>
                <w:szCs w:val="18"/>
              </w:rPr>
            </w:pPr>
            <w:r w:rsidRPr="00552380">
              <w:rPr>
                <w:sz w:val="18"/>
                <w:szCs w:val="18"/>
              </w:rPr>
              <w:t>В том числе:</w:t>
            </w:r>
          </w:p>
        </w:tc>
      </w:tr>
      <w:tr w:rsidR="0097426D" w:rsidTr="00EF051B">
        <w:trPr>
          <w:trHeight w:val="315"/>
        </w:trPr>
        <w:tc>
          <w:tcPr>
            <w:tcW w:w="3261" w:type="dxa"/>
            <w:gridSpan w:val="2"/>
            <w:tcBorders>
              <w:top w:val="nil"/>
              <w:left w:val="single" w:sz="4" w:space="0" w:color="auto"/>
              <w:bottom w:val="nil"/>
            </w:tcBorders>
            <w:shd w:val="clear" w:color="auto" w:fill="auto"/>
            <w:noWrap/>
            <w:vAlign w:val="center"/>
          </w:tcPr>
          <w:p w:rsidR="0097426D" w:rsidRPr="00552380" w:rsidRDefault="0097426D" w:rsidP="00EF051B">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EF051B">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Pr>
                <w:sz w:val="18"/>
                <w:szCs w:val="18"/>
              </w:rPr>
              <w:t>3 806 604,755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Pr>
                <w:sz w:val="18"/>
                <w:szCs w:val="18"/>
              </w:rPr>
              <w:t>599 610,803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right"/>
              <w:rPr>
                <w:sz w:val="18"/>
                <w:szCs w:val="18"/>
              </w:rPr>
            </w:pPr>
            <w:r w:rsidRPr="008B7364">
              <w:rPr>
                <w:sz w:val="18"/>
                <w:szCs w:val="18"/>
              </w:rPr>
              <w:t>554 882,772</w:t>
            </w:r>
          </w:p>
        </w:tc>
      </w:tr>
      <w:tr w:rsidR="0097426D" w:rsidTr="00EF051B">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EF051B">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r>
      <w:tr w:rsidR="0097426D" w:rsidTr="00EF051B">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53 444,095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1 215,997</w:t>
            </w:r>
          </w:p>
        </w:tc>
      </w:tr>
      <w:tr w:rsidR="0097426D" w:rsidTr="00EF051B">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3 029 417,593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461 316,141</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434 715,354</w:t>
            </w:r>
          </w:p>
        </w:tc>
      </w:tr>
      <w:tr w:rsidR="0097426D" w:rsidTr="00EF051B">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118 951,421</w:t>
            </w:r>
          </w:p>
        </w:tc>
      </w:tr>
      <w:tr w:rsidR="0097426D" w:rsidTr="00EF051B">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EF051B">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EF051B">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921</w:t>
            </w:r>
            <w:r>
              <w:rPr>
                <w:sz w:val="18"/>
                <w:szCs w:val="18"/>
              </w:rPr>
              <w:t> 822,649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38</w:t>
            </w:r>
            <w:r>
              <w:rPr>
                <w:sz w:val="18"/>
                <w:szCs w:val="18"/>
              </w:rPr>
              <w:t> 514,708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r>
      <w:tr w:rsidR="0097426D" w:rsidTr="00EF051B">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EF051B">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r>
      <w:tr w:rsidR="0097426D" w:rsidTr="00EF051B">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r>
      <w:tr w:rsidR="0097426D" w:rsidTr="00EF051B">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r>
      <w:tr w:rsidR="0097426D" w:rsidTr="00EF051B">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EF051B">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EF051B">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r>
      <w:tr w:rsidR="0097426D" w:rsidTr="00EF051B">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EF051B">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r>
      <w:tr w:rsidR="0097426D" w:rsidTr="00EF051B">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299,170</w:t>
            </w:r>
          </w:p>
        </w:tc>
      </w:tr>
      <w:tr w:rsidR="0097426D" w:rsidTr="00EF051B">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EF051B">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EF051B">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r>
      <w:tr w:rsidR="0097426D" w:rsidTr="00EF051B">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EF051B">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EF051B">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EF051B">
            <w:pPr>
              <w:rPr>
                <w:sz w:val="18"/>
                <w:szCs w:val="18"/>
              </w:rPr>
            </w:pPr>
          </w:p>
        </w:tc>
      </w:tr>
      <w:tr w:rsidR="0097426D" w:rsidTr="00EF051B">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EF051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EF051B">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EF051B">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3F7727">
          <w:pgSz w:w="16838" w:h="11906" w:orient="landscape" w:code="9"/>
          <w:pgMar w:top="15" w:right="1134" w:bottom="567" w:left="1134" w:header="709" w:footer="709" w:gutter="0"/>
          <w:cols w:space="708"/>
          <w:titlePg/>
          <w:docGrid w:linePitch="360"/>
        </w:sectPr>
      </w:pPr>
    </w:p>
    <w:p w:rsidR="00D92D58" w:rsidRDefault="00D92D58" w:rsidP="00453948">
      <w:pPr>
        <w:jc w:val="center"/>
      </w:pPr>
      <w:bookmarkStart w:id="0" w:name="_GoBack"/>
      <w:bookmarkEnd w:id="0"/>
    </w:p>
    <w:sectPr w:rsidR="00D92D58"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C3" w:rsidRDefault="00C244C3" w:rsidP="0097426D">
      <w:r>
        <w:separator/>
      </w:r>
    </w:p>
  </w:endnote>
  <w:endnote w:type="continuationSeparator" w:id="0">
    <w:p w:rsidR="00C244C3" w:rsidRDefault="00C244C3"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5" w:rsidRDefault="005458BA" w:rsidP="0091547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4D1815" w:rsidRDefault="00C244C3" w:rsidP="0091547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C3" w:rsidRDefault="00C244C3" w:rsidP="0097426D">
      <w:r>
        <w:separator/>
      </w:r>
    </w:p>
  </w:footnote>
  <w:footnote w:type="continuationSeparator" w:id="0">
    <w:p w:rsidR="00C244C3" w:rsidRDefault="00C244C3"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5" w:rsidRDefault="005458BA">
    <w:pPr>
      <w:pStyle w:val="af1"/>
      <w:jc w:val="center"/>
    </w:pPr>
    <w:r>
      <w:fldChar w:fldCharType="begin"/>
    </w:r>
    <w:r>
      <w:instrText>PAGE   \* MERGEFORMAT</w:instrText>
    </w:r>
    <w:r>
      <w:fldChar w:fldCharType="separate"/>
    </w:r>
    <w:r w:rsidR="00453948">
      <w:rPr>
        <w:noProof/>
      </w:rPr>
      <w:t>6</w:t>
    </w:r>
    <w:r>
      <w:rPr>
        <w:noProof/>
      </w:rPr>
      <w:fldChar w:fldCharType="end"/>
    </w:r>
  </w:p>
  <w:p w:rsidR="004D1815" w:rsidRDefault="00C244C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981"/>
    <w:rsid w:val="00047E4E"/>
    <w:rsid w:val="0005011A"/>
    <w:rsid w:val="00050C7C"/>
    <w:rsid w:val="000512BE"/>
    <w:rsid w:val="00053DF2"/>
    <w:rsid w:val="00054A7A"/>
    <w:rsid w:val="00054E80"/>
    <w:rsid w:val="00055BD3"/>
    <w:rsid w:val="00055C3A"/>
    <w:rsid w:val="00057843"/>
    <w:rsid w:val="00061825"/>
    <w:rsid w:val="000635F4"/>
    <w:rsid w:val="00065002"/>
    <w:rsid w:val="00067872"/>
    <w:rsid w:val="0007075C"/>
    <w:rsid w:val="00073DC0"/>
    <w:rsid w:val="00074A0E"/>
    <w:rsid w:val="000757EC"/>
    <w:rsid w:val="000765DE"/>
    <w:rsid w:val="00076A17"/>
    <w:rsid w:val="00077A69"/>
    <w:rsid w:val="000806AA"/>
    <w:rsid w:val="00081290"/>
    <w:rsid w:val="0008140B"/>
    <w:rsid w:val="0008185A"/>
    <w:rsid w:val="00081961"/>
    <w:rsid w:val="00081E83"/>
    <w:rsid w:val="00082A82"/>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948"/>
    <w:rsid w:val="00453BAD"/>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1A4B"/>
    <w:rsid w:val="00921D43"/>
    <w:rsid w:val="0092255B"/>
    <w:rsid w:val="00925855"/>
    <w:rsid w:val="00925DAC"/>
    <w:rsid w:val="00926A23"/>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E62"/>
    <w:rsid w:val="00B54B94"/>
    <w:rsid w:val="00B57F0B"/>
    <w:rsid w:val="00B618A5"/>
    <w:rsid w:val="00B61974"/>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4C3"/>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419A"/>
    <w:rsid w:val="00D4509A"/>
    <w:rsid w:val="00D45891"/>
    <w:rsid w:val="00D45AE3"/>
    <w:rsid w:val="00D46082"/>
    <w:rsid w:val="00D46878"/>
    <w:rsid w:val="00D46CA6"/>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Калаганова</cp:lastModifiedBy>
  <cp:revision>3</cp:revision>
  <dcterms:created xsi:type="dcterms:W3CDTF">2016-09-15T10:51:00Z</dcterms:created>
  <dcterms:modified xsi:type="dcterms:W3CDTF">2016-09-16T03:39:00Z</dcterms:modified>
</cp:coreProperties>
</file>