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«30</w:t>
      </w:r>
      <w:r w:rsidRPr="003749BB">
        <w:rPr>
          <w:sz w:val="28"/>
          <w:szCs w:val="28"/>
        </w:rPr>
        <w:t>» июля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69570F">
        <w:rPr>
          <w:sz w:val="28"/>
          <w:szCs w:val="28"/>
        </w:rPr>
        <w:t>77/181</w:t>
      </w:r>
      <w:bookmarkStart w:id="0" w:name="_GoBack"/>
      <w:bookmarkEnd w:id="0"/>
    </w:p>
    <w:p w:rsidR="002E3D24" w:rsidRDefault="002E3D24" w:rsidP="002E3D24">
      <w:pPr>
        <w:pStyle w:val="a3"/>
        <w:rPr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Нефтеюга</w:t>
      </w:r>
      <w:r w:rsidRPr="00456792">
        <w:rPr>
          <w:b/>
          <w:sz w:val="28"/>
          <w:szCs w:val="28"/>
        </w:rPr>
        <w:t>н</w:t>
      </w:r>
      <w:r w:rsidRPr="00456792">
        <w:rPr>
          <w:b/>
          <w:sz w:val="28"/>
          <w:szCs w:val="28"/>
        </w:rPr>
        <w:t xml:space="preserve">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C61379" w:rsidRPr="00456792" w:rsidRDefault="00C61379" w:rsidP="0069570F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 xml:space="preserve">округу № </w:t>
      </w:r>
      <w:r>
        <w:rPr>
          <w:b/>
          <w:sz w:val="28"/>
          <w:szCs w:val="28"/>
        </w:rPr>
        <w:t>19</w:t>
      </w:r>
      <w:r w:rsidR="0069570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Уливанова</w:t>
      </w:r>
      <w:proofErr w:type="spellEnd"/>
      <w:r>
        <w:rPr>
          <w:b/>
          <w:sz w:val="28"/>
          <w:szCs w:val="28"/>
        </w:rPr>
        <w:t xml:space="preserve"> Евгения Елисеевича </w:t>
      </w: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570F">
        <w:rPr>
          <w:sz w:val="28"/>
          <w:szCs w:val="28"/>
        </w:rPr>
        <w:t>1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56792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456792"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Уливанов</w:t>
      </w:r>
      <w:proofErr w:type="spellEnd"/>
      <w:r>
        <w:rPr>
          <w:sz w:val="28"/>
          <w:szCs w:val="28"/>
        </w:rPr>
        <w:t xml:space="preserve"> Евгений Елисеевич</w:t>
      </w:r>
      <w:r w:rsidRPr="00456792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альную </w:t>
      </w:r>
      <w:r w:rsidRPr="00456792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 xml:space="preserve">города Нефтеюганска </w:t>
      </w:r>
      <w:r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</w:t>
      </w:r>
      <w:r w:rsidR="00FC68F2" w:rsidRPr="0069570F">
        <w:rPr>
          <w:sz w:val="28"/>
          <w:szCs w:val="28"/>
        </w:rPr>
        <w:t>и</w:t>
      </w:r>
      <w:r w:rsidR="00FC68F2" w:rsidRPr="0069570F">
        <w:rPr>
          <w:sz w:val="28"/>
          <w:szCs w:val="28"/>
        </w:rPr>
        <w:t xml:space="preserve">страции </w:t>
      </w:r>
      <w:r w:rsidRPr="0069570F">
        <w:rPr>
          <w:sz w:val="28"/>
          <w:szCs w:val="28"/>
        </w:rPr>
        <w:t xml:space="preserve">кандидатом на выборах </w:t>
      </w:r>
      <w:proofErr w:type="gramStart"/>
      <w:r w:rsidRPr="0069570F">
        <w:rPr>
          <w:sz w:val="28"/>
          <w:szCs w:val="28"/>
        </w:rPr>
        <w:t>депутат</w:t>
      </w:r>
      <w:r w:rsidRPr="0069570F">
        <w:rPr>
          <w:sz w:val="28"/>
          <w:szCs w:val="28"/>
        </w:rPr>
        <w:t>ов</w:t>
      </w:r>
      <w:r w:rsidRPr="0069570F">
        <w:rPr>
          <w:sz w:val="28"/>
          <w:szCs w:val="28"/>
        </w:rPr>
        <w:t xml:space="preserve"> Думы города Нефтеюганска </w:t>
      </w:r>
      <w:r w:rsidRPr="0069570F">
        <w:rPr>
          <w:sz w:val="28"/>
          <w:szCs w:val="28"/>
        </w:rPr>
        <w:t>шест</w:t>
      </w:r>
      <w:r w:rsidRPr="0069570F">
        <w:rPr>
          <w:sz w:val="28"/>
          <w:szCs w:val="28"/>
        </w:rPr>
        <w:t>о</w:t>
      </w:r>
      <w:r>
        <w:rPr>
          <w:sz w:val="28"/>
          <w:szCs w:val="28"/>
        </w:rPr>
        <w:t>го созыва</w:t>
      </w:r>
      <w:proofErr w:type="gramEnd"/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19</w:t>
      </w:r>
      <w:r w:rsidRPr="00456792">
        <w:rPr>
          <w:sz w:val="28"/>
          <w:szCs w:val="28"/>
        </w:rPr>
        <w:t xml:space="preserve"> в порядке самов</w:t>
      </w:r>
      <w:r w:rsidRPr="00456792">
        <w:rPr>
          <w:sz w:val="28"/>
          <w:szCs w:val="28"/>
        </w:rPr>
        <w:t>ы</w:t>
      </w:r>
      <w:r w:rsidRPr="00456792">
        <w:rPr>
          <w:sz w:val="28"/>
          <w:szCs w:val="28"/>
        </w:rPr>
        <w:t>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Югре»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страции кандид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та также представляются подписные листы и иные документы, предусмотре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proofErr w:type="spellStart"/>
      <w:r>
        <w:rPr>
          <w:sz w:val="28"/>
          <w:szCs w:val="28"/>
        </w:rPr>
        <w:t>Уливановым</w:t>
      </w:r>
      <w:proofErr w:type="spellEnd"/>
      <w:r>
        <w:rPr>
          <w:sz w:val="28"/>
          <w:szCs w:val="28"/>
        </w:rPr>
        <w:t xml:space="preserve"> Евгением Елисеевичем </w:t>
      </w:r>
      <w:r w:rsidRPr="00FC68F2">
        <w:rPr>
          <w:sz w:val="28"/>
          <w:szCs w:val="28"/>
        </w:rPr>
        <w:t>для р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>гистрации кандидатом, достоверность содержащихся в них св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>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 в депутаты Думы города Нефтеюганска шестого соз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 </w:t>
      </w:r>
      <w:proofErr w:type="spellStart"/>
      <w:r>
        <w:rPr>
          <w:sz w:val="28"/>
          <w:szCs w:val="28"/>
        </w:rPr>
        <w:t>Уливановым</w:t>
      </w:r>
      <w:proofErr w:type="spellEnd"/>
      <w:r>
        <w:rPr>
          <w:sz w:val="28"/>
          <w:szCs w:val="28"/>
        </w:rPr>
        <w:t xml:space="preserve"> Е.Е. выявлено</w:t>
      </w:r>
      <w:proofErr w:type="gramEnd"/>
      <w:r>
        <w:rPr>
          <w:sz w:val="28"/>
          <w:szCs w:val="28"/>
        </w:rPr>
        <w:t xml:space="preserve"> следующее:</w:t>
      </w:r>
    </w:p>
    <w:p w:rsidR="003822EE" w:rsidRPr="003822EE" w:rsidRDefault="003822EE" w:rsidP="00382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22EE">
        <w:rPr>
          <w:sz w:val="28"/>
          <w:szCs w:val="28"/>
        </w:rPr>
        <w:t>В нарушение подп</w:t>
      </w:r>
      <w:r>
        <w:rPr>
          <w:sz w:val="28"/>
          <w:szCs w:val="28"/>
        </w:rPr>
        <w:t>ункта</w:t>
      </w:r>
      <w:r w:rsidRPr="003822EE">
        <w:rPr>
          <w:sz w:val="28"/>
          <w:szCs w:val="28"/>
        </w:rPr>
        <w:t xml:space="preserve"> в.2) п</w:t>
      </w:r>
      <w:r>
        <w:rPr>
          <w:sz w:val="28"/>
          <w:szCs w:val="28"/>
        </w:rPr>
        <w:t xml:space="preserve">ункта </w:t>
      </w:r>
      <w:r w:rsidRPr="003822EE">
        <w:rPr>
          <w:sz w:val="28"/>
          <w:szCs w:val="28"/>
        </w:rPr>
        <w:t>24 ст</w:t>
      </w:r>
      <w:r>
        <w:rPr>
          <w:sz w:val="28"/>
          <w:szCs w:val="28"/>
        </w:rPr>
        <w:t>атьи</w:t>
      </w:r>
      <w:r w:rsidRPr="003822EE">
        <w:rPr>
          <w:sz w:val="28"/>
          <w:szCs w:val="28"/>
        </w:rPr>
        <w:t xml:space="preserve"> 38 Федерального закона </w:t>
      </w:r>
      <w:r w:rsidR="00561DF0" w:rsidRPr="003822EE">
        <w:rPr>
          <w:sz w:val="28"/>
          <w:szCs w:val="28"/>
        </w:rPr>
        <w:t>от 12</w:t>
      </w:r>
      <w:r w:rsidR="00561DF0">
        <w:rPr>
          <w:sz w:val="28"/>
          <w:szCs w:val="28"/>
        </w:rPr>
        <w:t>.06.</w:t>
      </w:r>
      <w:r w:rsidR="00561DF0" w:rsidRPr="003822EE">
        <w:rPr>
          <w:sz w:val="28"/>
          <w:szCs w:val="28"/>
        </w:rPr>
        <w:t xml:space="preserve">2002 </w:t>
      </w:r>
      <w:r w:rsidRPr="003822EE">
        <w:rPr>
          <w:sz w:val="28"/>
          <w:szCs w:val="28"/>
        </w:rPr>
        <w:t>№ 67-ФЗ «Об основных гарантиях избирательных прав гра</w:t>
      </w:r>
      <w:r w:rsidRPr="003822EE">
        <w:rPr>
          <w:sz w:val="28"/>
          <w:szCs w:val="28"/>
        </w:rPr>
        <w:t>ж</w:t>
      </w:r>
      <w:r w:rsidRPr="003822EE">
        <w:rPr>
          <w:sz w:val="28"/>
          <w:szCs w:val="28"/>
        </w:rPr>
        <w:t xml:space="preserve">дан и права на участие в референдуме граждан Российской Федерации» </w:t>
      </w:r>
      <w:r>
        <w:rPr>
          <w:sz w:val="28"/>
          <w:szCs w:val="28"/>
        </w:rPr>
        <w:t xml:space="preserve">в заявлении </w:t>
      </w:r>
      <w:proofErr w:type="spellStart"/>
      <w:r>
        <w:rPr>
          <w:sz w:val="28"/>
          <w:szCs w:val="28"/>
        </w:rPr>
        <w:t>Уливанова</w:t>
      </w:r>
      <w:proofErr w:type="spellEnd"/>
      <w:r>
        <w:rPr>
          <w:sz w:val="28"/>
          <w:szCs w:val="28"/>
        </w:rPr>
        <w:t xml:space="preserve"> Е.Е. не указаны </w:t>
      </w:r>
      <w:r w:rsidRPr="003822EE">
        <w:rPr>
          <w:sz w:val="28"/>
          <w:szCs w:val="28"/>
        </w:rPr>
        <w:t xml:space="preserve">номер  избирательного  </w:t>
      </w:r>
      <w:proofErr w:type="gramStart"/>
      <w:r w:rsidRPr="003822EE">
        <w:rPr>
          <w:sz w:val="28"/>
          <w:szCs w:val="28"/>
        </w:rPr>
        <w:t>округа</w:t>
      </w:r>
      <w:proofErr w:type="gramEnd"/>
      <w:r w:rsidRPr="003822EE">
        <w:rPr>
          <w:sz w:val="28"/>
          <w:szCs w:val="28"/>
        </w:rPr>
        <w:t xml:space="preserve"> по которому балл</w:t>
      </w:r>
      <w:r w:rsidRPr="003822EE">
        <w:rPr>
          <w:sz w:val="28"/>
          <w:szCs w:val="28"/>
        </w:rPr>
        <w:t>о</w:t>
      </w:r>
      <w:r w:rsidRPr="003822EE">
        <w:rPr>
          <w:sz w:val="28"/>
          <w:szCs w:val="28"/>
        </w:rPr>
        <w:t>тируется кандидат, дата рождения кандидата, сведения об образовании, место рождения,  серия, номер и дата выдачи паспорта или документа, заменяющего паспорт гражданина, наименование или код органа, выдавшего паспорт или д</w:t>
      </w:r>
      <w:r w:rsidRPr="003822EE">
        <w:rPr>
          <w:sz w:val="28"/>
          <w:szCs w:val="28"/>
        </w:rPr>
        <w:t>о</w:t>
      </w:r>
      <w:r w:rsidRPr="003822EE">
        <w:rPr>
          <w:sz w:val="28"/>
          <w:szCs w:val="28"/>
        </w:rPr>
        <w:t>кумент, заменяющего паспорт гражданина, идентификационный номер налог</w:t>
      </w:r>
      <w:r w:rsidRPr="003822EE">
        <w:rPr>
          <w:sz w:val="28"/>
          <w:szCs w:val="28"/>
        </w:rPr>
        <w:t>о</w:t>
      </w:r>
      <w:r w:rsidRPr="003822EE">
        <w:rPr>
          <w:sz w:val="28"/>
          <w:szCs w:val="28"/>
        </w:rPr>
        <w:lastRenderedPageBreak/>
        <w:t>плател</w:t>
      </w:r>
      <w:r w:rsidRPr="003822EE">
        <w:rPr>
          <w:sz w:val="28"/>
          <w:szCs w:val="28"/>
        </w:rPr>
        <w:t>ь</w:t>
      </w:r>
      <w:r w:rsidRPr="003822EE">
        <w:rPr>
          <w:sz w:val="28"/>
          <w:szCs w:val="28"/>
        </w:rPr>
        <w:t>щика (при наличии), сведения о профессиональном образовании (при наличии) с указанием организации, осуществляющей образовательную де</w:t>
      </w:r>
      <w:r w:rsidRPr="003822EE">
        <w:rPr>
          <w:sz w:val="28"/>
          <w:szCs w:val="28"/>
        </w:rPr>
        <w:t>я</w:t>
      </w:r>
      <w:r w:rsidRPr="003822EE">
        <w:rPr>
          <w:sz w:val="28"/>
          <w:szCs w:val="28"/>
        </w:rPr>
        <w:t>тельность, года ее окончания и реквизитов   документа об образовании и о кв</w:t>
      </w:r>
      <w:r w:rsidRPr="003822EE">
        <w:rPr>
          <w:sz w:val="28"/>
          <w:szCs w:val="28"/>
        </w:rPr>
        <w:t>а</w:t>
      </w:r>
      <w:r w:rsidRPr="003822EE">
        <w:rPr>
          <w:sz w:val="28"/>
          <w:szCs w:val="28"/>
        </w:rPr>
        <w:t>лификации.</w:t>
      </w:r>
    </w:p>
    <w:p w:rsidR="003822EE" w:rsidRDefault="00561DF0" w:rsidP="00561D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3822EE" w:rsidRPr="00561DF0">
        <w:rPr>
          <w:sz w:val="28"/>
          <w:szCs w:val="28"/>
        </w:rPr>
        <w:t xml:space="preserve">Отсутствует согласие </w:t>
      </w:r>
      <w:r>
        <w:rPr>
          <w:sz w:val="28"/>
          <w:szCs w:val="28"/>
        </w:rPr>
        <w:t xml:space="preserve">кандидата </w:t>
      </w:r>
      <w:r w:rsidR="003822EE" w:rsidRPr="00561DF0">
        <w:rPr>
          <w:sz w:val="28"/>
          <w:szCs w:val="28"/>
        </w:rPr>
        <w:t>баллотироваться по соответствующему избирательному округу с обязательством</w:t>
      </w:r>
      <w:r>
        <w:rPr>
          <w:sz w:val="28"/>
          <w:szCs w:val="28"/>
        </w:rPr>
        <w:t>,</w:t>
      </w:r>
      <w:r w:rsidR="003822EE" w:rsidRPr="00561DF0">
        <w:rPr>
          <w:sz w:val="28"/>
          <w:szCs w:val="28"/>
        </w:rPr>
        <w:t xml:space="preserve"> в случае его избрания</w:t>
      </w:r>
      <w:r>
        <w:rPr>
          <w:sz w:val="28"/>
          <w:szCs w:val="28"/>
        </w:rPr>
        <w:t xml:space="preserve">, </w:t>
      </w:r>
      <w:r w:rsidR="003822EE" w:rsidRPr="00561DF0">
        <w:rPr>
          <w:sz w:val="28"/>
          <w:szCs w:val="28"/>
        </w:rPr>
        <w:t>прекратить д</w:t>
      </w:r>
      <w:r w:rsidR="003822EE" w:rsidRPr="00561DF0">
        <w:rPr>
          <w:sz w:val="28"/>
          <w:szCs w:val="28"/>
        </w:rPr>
        <w:t>е</w:t>
      </w:r>
      <w:r w:rsidR="003822EE" w:rsidRPr="00561DF0">
        <w:rPr>
          <w:sz w:val="28"/>
          <w:szCs w:val="28"/>
        </w:rPr>
        <w:t>ятельность, несовместимую со статусом депутата или с замещением иной в</w:t>
      </w:r>
      <w:r w:rsidR="003822EE" w:rsidRPr="00561DF0">
        <w:rPr>
          <w:sz w:val="28"/>
          <w:szCs w:val="28"/>
        </w:rPr>
        <w:t>ы</w:t>
      </w:r>
      <w:r w:rsidR="003822EE" w:rsidRPr="00561DF0">
        <w:rPr>
          <w:sz w:val="28"/>
          <w:szCs w:val="28"/>
        </w:rPr>
        <w:t>борной должности указания об обязательстве в нарушени</w:t>
      </w:r>
      <w:r>
        <w:rPr>
          <w:sz w:val="28"/>
          <w:szCs w:val="28"/>
        </w:rPr>
        <w:t>е</w:t>
      </w:r>
      <w:r w:rsidR="003822EE" w:rsidRPr="00561DF0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="003822EE" w:rsidRPr="00561DF0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="003822EE" w:rsidRPr="00561DF0">
        <w:rPr>
          <w:sz w:val="28"/>
          <w:szCs w:val="28"/>
        </w:rPr>
        <w:t xml:space="preserve"> 33  Федерального закона от 12</w:t>
      </w:r>
      <w:r>
        <w:rPr>
          <w:sz w:val="28"/>
          <w:szCs w:val="28"/>
        </w:rPr>
        <w:t>.06.</w:t>
      </w:r>
      <w:r w:rsidR="003822EE" w:rsidRPr="00561DF0">
        <w:rPr>
          <w:sz w:val="28"/>
          <w:szCs w:val="28"/>
        </w:rPr>
        <w:t>2002</w:t>
      </w:r>
      <w:r>
        <w:rPr>
          <w:sz w:val="28"/>
          <w:szCs w:val="28"/>
        </w:rPr>
        <w:t xml:space="preserve"> </w:t>
      </w:r>
      <w:r w:rsidRPr="00561DF0">
        <w:rPr>
          <w:sz w:val="28"/>
          <w:szCs w:val="28"/>
        </w:rPr>
        <w:t>№67-ФЗ</w:t>
      </w:r>
      <w:r w:rsidR="003822EE" w:rsidRPr="00561DF0">
        <w:rPr>
          <w:sz w:val="28"/>
          <w:szCs w:val="28"/>
        </w:rPr>
        <w:t xml:space="preserve"> «Об основных гарантиях избир</w:t>
      </w:r>
      <w:r w:rsidR="003822EE" w:rsidRPr="00561DF0">
        <w:rPr>
          <w:sz w:val="28"/>
          <w:szCs w:val="28"/>
        </w:rPr>
        <w:t>а</w:t>
      </w:r>
      <w:r w:rsidR="003822EE" w:rsidRPr="00561DF0">
        <w:rPr>
          <w:sz w:val="28"/>
          <w:szCs w:val="28"/>
        </w:rPr>
        <w:t>тельных прав граждан и права на участие в референдуме граждан Росси</w:t>
      </w:r>
      <w:r w:rsidR="003822EE" w:rsidRPr="00561DF0">
        <w:rPr>
          <w:sz w:val="28"/>
          <w:szCs w:val="28"/>
        </w:rPr>
        <w:t>й</w:t>
      </w:r>
      <w:r w:rsidR="003822EE" w:rsidRPr="00561DF0">
        <w:rPr>
          <w:sz w:val="28"/>
          <w:szCs w:val="28"/>
        </w:rPr>
        <w:t>ской Федер</w:t>
      </w:r>
      <w:r w:rsidR="003822EE" w:rsidRPr="00561DF0">
        <w:rPr>
          <w:sz w:val="28"/>
          <w:szCs w:val="28"/>
        </w:rPr>
        <w:t>а</w:t>
      </w:r>
      <w:r w:rsidR="003822EE" w:rsidRPr="00561DF0">
        <w:rPr>
          <w:sz w:val="28"/>
          <w:szCs w:val="28"/>
        </w:rPr>
        <w:t>ции».</w:t>
      </w:r>
      <w:proofErr w:type="gramEnd"/>
    </w:p>
    <w:p w:rsidR="00D51D23" w:rsidRPr="00561DF0" w:rsidRDefault="00D51D23" w:rsidP="00561DF0">
      <w:pPr>
        <w:ind w:firstLine="708"/>
        <w:jc w:val="both"/>
        <w:rPr>
          <w:sz w:val="28"/>
          <w:szCs w:val="28"/>
        </w:rPr>
      </w:pPr>
      <w:proofErr w:type="gramStart"/>
      <w:r w:rsidRPr="00D51D23">
        <w:rPr>
          <w:sz w:val="28"/>
          <w:szCs w:val="28"/>
        </w:rPr>
        <w:t>3.В нарушение подпункта а) пункта 2.2 части 2 статьи 33 Федерального закона от 12.06.2002 №67-ФЗ «Об основных гарантиях избирательных прав граждан и права на участие в референдуме граждан Российской Федерации» и Постановления Центральной Избирательной Комиссии от 04.06.2014 №233/1478-6 «Об определении страниц паспорта гражданина Российской Ф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дерации, копии которых представляются в избирательную комиссию»  к зая</w:t>
      </w:r>
      <w:r w:rsidRPr="00D51D23">
        <w:rPr>
          <w:sz w:val="28"/>
          <w:szCs w:val="28"/>
        </w:rPr>
        <w:t>в</w:t>
      </w:r>
      <w:r w:rsidRPr="00D51D23">
        <w:rPr>
          <w:sz w:val="28"/>
          <w:szCs w:val="28"/>
        </w:rPr>
        <w:t>лению кандидата не приложены копии страниц</w:t>
      </w:r>
      <w:proofErr w:type="gramEnd"/>
      <w:r w:rsidRPr="00D51D23">
        <w:rPr>
          <w:sz w:val="28"/>
          <w:szCs w:val="28"/>
        </w:rPr>
        <w:t xml:space="preserve"> паспорта № 18 и 19.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Согласно подпункт</w:t>
      </w:r>
      <w:r w:rsidR="0069570F">
        <w:rPr>
          <w:sz w:val="28"/>
          <w:szCs w:val="28"/>
        </w:rPr>
        <w:t>ам</w:t>
      </w:r>
      <w:r w:rsidRPr="00456792">
        <w:rPr>
          <w:sz w:val="28"/>
          <w:szCs w:val="28"/>
        </w:rPr>
        <w:t xml:space="preserve"> в)</w:t>
      </w:r>
      <w:r w:rsidR="00FC68F2">
        <w:rPr>
          <w:sz w:val="28"/>
          <w:szCs w:val="28"/>
        </w:rPr>
        <w:t>, в.2), д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 xml:space="preserve"> пункта 24 статьи 38 Федерального закона от 12.06.2002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основанием для отказа в регистрации кандидата является отсутствие среди документов, представле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>ных для уведомления о выдвижении и регистрации кандидата, документов, н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>обходимых в соответствии с законом для уведомления о выдвижении и (или) регистрации</w:t>
      </w:r>
      <w:proofErr w:type="gramEnd"/>
      <w:r w:rsidRPr="00456792">
        <w:rPr>
          <w:sz w:val="28"/>
          <w:szCs w:val="28"/>
        </w:rPr>
        <w:t xml:space="preserve">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округа-Югры от 30.09.2011 г.</w:t>
      </w:r>
      <w:r w:rsidRPr="00456792">
        <w:rPr>
          <w:sz w:val="28"/>
          <w:szCs w:val="28"/>
        </w:rPr>
        <w:t xml:space="preserve"> N 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D51D23">
        <w:rPr>
          <w:sz w:val="28"/>
          <w:szCs w:val="28"/>
        </w:rPr>
        <w:t>19</w:t>
      </w:r>
      <w:r w:rsidRPr="00456792">
        <w:rPr>
          <w:sz w:val="28"/>
          <w:szCs w:val="28"/>
        </w:rPr>
        <w:t xml:space="preserve"> 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ставляет 3</w:t>
      </w:r>
      <w:r w:rsidR="00D51D23">
        <w:rPr>
          <w:sz w:val="28"/>
          <w:szCs w:val="28"/>
        </w:rPr>
        <w:t>341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необх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димо «1</w:t>
      </w:r>
      <w:r w:rsidR="00D51D23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D51D23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</w:t>
      </w:r>
      <w:r w:rsidR="00D51D23" w:rsidRPr="00D51D23">
        <w:rPr>
          <w:sz w:val="28"/>
          <w:szCs w:val="28"/>
        </w:rPr>
        <w:t>и</w:t>
      </w:r>
      <w:r w:rsidR="00D51D23" w:rsidRPr="00D51D23">
        <w:rPr>
          <w:sz w:val="28"/>
          <w:szCs w:val="28"/>
        </w:rPr>
        <w:t>сей избирателей</w:t>
      </w:r>
      <w:r w:rsidR="00D51D23">
        <w:rPr>
          <w:sz w:val="28"/>
          <w:szCs w:val="28"/>
        </w:rPr>
        <w:t xml:space="preserve"> «18» (восемнадцать),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«19» (девятн</w:t>
      </w:r>
      <w:r w:rsidR="00D51D23">
        <w:rPr>
          <w:sz w:val="28"/>
          <w:szCs w:val="28"/>
        </w:rPr>
        <w:t>а</w:t>
      </w:r>
      <w:r w:rsidR="00D51D23">
        <w:rPr>
          <w:sz w:val="28"/>
          <w:szCs w:val="28"/>
        </w:rPr>
        <w:t>дцать)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2 статьи 38 Федер</w:t>
      </w:r>
      <w:r w:rsidR="00D51D23">
        <w:rPr>
          <w:sz w:val="28"/>
          <w:szCs w:val="28"/>
        </w:rPr>
        <w:t>ального закона  от 12.06.2002</w:t>
      </w:r>
      <w:r w:rsidRPr="00456792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если для регистрации кандидата требуется представить менее 40 подписей, количество представляемых подп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сей избирателей может превышать количество подписей, необходимое для р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>гистрации кандидата, не более чем на четыре подписи.</w:t>
      </w:r>
      <w:proofErr w:type="gramEnd"/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номном округе – Югре», рабочей группой по проверке подписей в поддержку </w:t>
      </w:r>
      <w:r w:rsidRPr="00456792">
        <w:rPr>
          <w:sz w:val="28"/>
          <w:szCs w:val="28"/>
        </w:rPr>
        <w:lastRenderedPageBreak/>
        <w:t>выдвижения кандидата была проведена проверка порядка сбора подписей, оформления подписных листов. Проверке подверглись все «19» (девятнадцать) по</w:t>
      </w:r>
      <w:r w:rsidRPr="00456792">
        <w:rPr>
          <w:sz w:val="28"/>
          <w:szCs w:val="28"/>
        </w:rPr>
        <w:t>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D51D23">
        <w:rPr>
          <w:sz w:val="28"/>
          <w:szCs w:val="28"/>
        </w:rPr>
        <w:t>30 июля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недействительными были признаны все «19» (девятнадцать)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«_19_» (девятнадцать) подписей, в соответствии с подпунктом «з», пункта 6.4, статьи 38 Федерального закона от 12.06.2012 №67-ФЗ;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«_19_» (девятнадцать) подписей, в соответствии с подпунктом «г», пункта 6.4, статьи 38 Федерального закона от 12.06.2012 №67-ФЗ;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«_19_» (девятнадцать) подписей, в соответствии с подпунктом «и», пункта 6.4, статьи 38 Федерального закона от 12.06.2012 №67-ФЗ;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«_1_» (одна) подпись, в соответствии с подпунктом «в», пункта 6.4, ст</w:t>
      </w:r>
      <w:r w:rsidRPr="00D51D23">
        <w:rPr>
          <w:sz w:val="28"/>
          <w:szCs w:val="28"/>
        </w:rPr>
        <w:t>а</w:t>
      </w:r>
      <w:r w:rsidRPr="00D51D23">
        <w:rPr>
          <w:sz w:val="28"/>
          <w:szCs w:val="28"/>
        </w:rPr>
        <w:t xml:space="preserve">тьи 38 Федерального закона от 12.06.2012 №67-ФЗ. 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образом, признаны недействительными 19 подписей, что составл</w:t>
      </w:r>
      <w:r w:rsidRPr="00D51D23">
        <w:rPr>
          <w:sz w:val="28"/>
          <w:szCs w:val="28"/>
        </w:rPr>
        <w:t>я</w:t>
      </w:r>
      <w:r w:rsidRPr="00D51D23">
        <w:rPr>
          <w:sz w:val="28"/>
          <w:szCs w:val="28"/>
        </w:rPr>
        <w:t>ет 100 %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достоверными, составило _0 (ноль)</w:t>
      </w:r>
      <w:proofErr w:type="gramStart"/>
      <w:r w:rsidRPr="00D51D23">
        <w:rPr>
          <w:sz w:val="28"/>
          <w:szCs w:val="28"/>
        </w:rPr>
        <w:t xml:space="preserve"> .</w:t>
      </w:r>
      <w:proofErr w:type="gramEnd"/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путатов пре</w:t>
      </w:r>
      <w:r w:rsidRPr="00D51D23">
        <w:rPr>
          <w:sz w:val="28"/>
          <w:szCs w:val="28"/>
        </w:rPr>
        <w:t>д</w:t>
      </w:r>
      <w:r w:rsidRPr="00D51D23">
        <w:rPr>
          <w:sz w:val="28"/>
          <w:szCs w:val="28"/>
        </w:rPr>
        <w:t xml:space="preserve">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Согласно подпункту д</w:t>
      </w:r>
      <w:r w:rsidR="00DF766B">
        <w:rPr>
          <w:sz w:val="28"/>
          <w:szCs w:val="28"/>
        </w:rPr>
        <w:t>)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>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proofErr w:type="spellStart"/>
      <w:r w:rsidR="00DF766B">
        <w:rPr>
          <w:sz w:val="28"/>
          <w:szCs w:val="28"/>
        </w:rPr>
        <w:t>Уливанову</w:t>
      </w:r>
      <w:proofErr w:type="spellEnd"/>
      <w:r w:rsidR="00DF766B">
        <w:rPr>
          <w:sz w:val="28"/>
          <w:szCs w:val="28"/>
        </w:rPr>
        <w:t xml:space="preserve"> Евгению Елисеевичу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DF766B">
        <w:rPr>
          <w:sz w:val="28"/>
          <w:szCs w:val="28"/>
        </w:rPr>
        <w:t>гу №19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Pr="00456792">
        <w:rPr>
          <w:rFonts w:eastAsia="Calibri"/>
          <w:sz w:val="28"/>
          <w:szCs w:val="28"/>
          <w:lang w:eastAsia="en-US"/>
        </w:rPr>
        <w:t xml:space="preserve">подпунктами </w:t>
      </w:r>
      <w:r w:rsidR="00DF766B" w:rsidRPr="00DF766B">
        <w:rPr>
          <w:rFonts w:eastAsia="Calibri"/>
          <w:sz w:val="28"/>
          <w:szCs w:val="28"/>
          <w:lang w:eastAsia="en-US"/>
        </w:rPr>
        <w:t>в), в.2), д)</w:t>
      </w:r>
      <w:r w:rsidRPr="00456792">
        <w:rPr>
          <w:rFonts w:eastAsia="Calibri"/>
          <w:sz w:val="28"/>
          <w:szCs w:val="28"/>
          <w:lang w:eastAsia="en-US"/>
        </w:rPr>
        <w:t>,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1 статьи 9 Закона Ханты-Мансийского автономного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>путатов представительного органа муниципального образования в Ха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ты-Мансийском автономном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мис</w:t>
      </w:r>
      <w:r w:rsidR="00DF766B">
        <w:rPr>
          <w:sz w:val="28"/>
          <w:szCs w:val="28"/>
        </w:rPr>
        <w:t>сия</w:t>
      </w:r>
      <w:proofErr w:type="gramEnd"/>
      <w:r w:rsidR="00DF766B" w:rsidRPr="00DF766B">
        <w:t xml:space="preserve"> </w:t>
      </w:r>
      <w:r w:rsidR="00DF766B" w:rsidRPr="00DF766B">
        <w:rPr>
          <w:sz w:val="28"/>
          <w:szCs w:val="28"/>
        </w:rPr>
        <w:t xml:space="preserve">города Нефтеюганска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DF766B">
        <w:rPr>
          <w:sz w:val="28"/>
          <w:szCs w:val="28"/>
        </w:rPr>
        <w:t>Уливанову</w:t>
      </w:r>
      <w:proofErr w:type="spellEnd"/>
      <w:r w:rsidR="00DF766B">
        <w:rPr>
          <w:sz w:val="28"/>
          <w:szCs w:val="28"/>
        </w:rPr>
        <w:t xml:space="preserve"> Евгению Елисеевичу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</w:t>
      </w:r>
      <w:r w:rsidRPr="00456792">
        <w:rPr>
          <w:sz w:val="28"/>
          <w:szCs w:val="28"/>
        </w:rPr>
        <w:t>з</w:t>
      </w:r>
      <w:r w:rsidRPr="00456792">
        <w:rPr>
          <w:sz w:val="28"/>
          <w:szCs w:val="28"/>
        </w:rPr>
        <w:t xml:space="preserve">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№ </w:t>
      </w:r>
      <w:r w:rsidR="00DF766B">
        <w:rPr>
          <w:sz w:val="28"/>
          <w:szCs w:val="28"/>
        </w:rPr>
        <w:t>19</w:t>
      </w:r>
      <w:r w:rsidRPr="00456792">
        <w:rPr>
          <w:sz w:val="28"/>
          <w:szCs w:val="28"/>
        </w:rPr>
        <w:t xml:space="preserve"> в порядке сам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proofErr w:type="spellStart"/>
      <w:r w:rsidR="00DF766B">
        <w:rPr>
          <w:sz w:val="28"/>
          <w:szCs w:val="28"/>
        </w:rPr>
        <w:t>Уливанова</w:t>
      </w:r>
      <w:proofErr w:type="spellEnd"/>
      <w:r w:rsidR="00DF766B">
        <w:rPr>
          <w:sz w:val="28"/>
          <w:szCs w:val="28"/>
        </w:rPr>
        <w:t xml:space="preserve"> Евгения Елисеевича </w:t>
      </w:r>
      <w:r w:rsidRPr="00456792">
        <w:rPr>
          <w:sz w:val="28"/>
          <w:szCs w:val="28"/>
        </w:rPr>
        <w:t>о принятом решении в уст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lastRenderedPageBreak/>
        <w:t>новленный з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proofErr w:type="spellStart"/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proofErr w:type="spellEnd"/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proofErr w:type="spellStart"/>
      <w:r w:rsidR="00DF766B">
        <w:rPr>
          <w:sz w:val="28"/>
          <w:szCs w:val="28"/>
        </w:rPr>
        <w:t>Уливанова</w:t>
      </w:r>
      <w:proofErr w:type="spellEnd"/>
      <w:r w:rsidR="00DF766B">
        <w:rPr>
          <w:sz w:val="28"/>
          <w:szCs w:val="28"/>
        </w:rPr>
        <w:t xml:space="preserve"> </w:t>
      </w:r>
      <w:r w:rsidR="0069570F" w:rsidRPr="0069570F">
        <w:rPr>
          <w:sz w:val="28"/>
          <w:szCs w:val="28"/>
        </w:rPr>
        <w:t>Евгения Елисеевича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>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</w:t>
      </w:r>
      <w:proofErr w:type="spellStart"/>
      <w:r w:rsidRPr="00A34C51">
        <w:rPr>
          <w:sz w:val="28"/>
          <w:szCs w:val="28"/>
        </w:rPr>
        <w:t>Арестова</w:t>
      </w:r>
      <w:proofErr w:type="spell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5570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8"/>
    <w:rsid w:val="000D6FE0"/>
    <w:rsid w:val="000F4CF9"/>
    <w:rsid w:val="00113377"/>
    <w:rsid w:val="002E3D24"/>
    <w:rsid w:val="003822EE"/>
    <w:rsid w:val="00557003"/>
    <w:rsid w:val="00561DF0"/>
    <w:rsid w:val="005D218B"/>
    <w:rsid w:val="00690C15"/>
    <w:rsid w:val="0069570F"/>
    <w:rsid w:val="007716CC"/>
    <w:rsid w:val="00872DFD"/>
    <w:rsid w:val="009C5EC8"/>
    <w:rsid w:val="009E75FD"/>
    <w:rsid w:val="00A273EC"/>
    <w:rsid w:val="00A34C51"/>
    <w:rsid w:val="00AF065E"/>
    <w:rsid w:val="00B510AE"/>
    <w:rsid w:val="00BC6FF3"/>
    <w:rsid w:val="00C61379"/>
    <w:rsid w:val="00C961FA"/>
    <w:rsid w:val="00CE7CD1"/>
    <w:rsid w:val="00D51D23"/>
    <w:rsid w:val="00DF766B"/>
    <w:rsid w:val="00E3296B"/>
    <w:rsid w:val="00E50173"/>
    <w:rsid w:val="00F12A4D"/>
    <w:rsid w:val="00F31432"/>
    <w:rsid w:val="00F610EF"/>
    <w:rsid w:val="00F745ED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2</cp:revision>
  <cp:lastPrinted>2016-07-30T07:32:00Z</cp:lastPrinted>
  <dcterms:created xsi:type="dcterms:W3CDTF">2016-07-30T07:42:00Z</dcterms:created>
  <dcterms:modified xsi:type="dcterms:W3CDTF">2016-07-30T07:42:00Z</dcterms:modified>
</cp:coreProperties>
</file>