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29" w:rsidRDefault="00D23408">
      <w:pPr>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inline distT="0" distB="0" distL="0" distR="0">
                <wp:extent cx="585470" cy="68897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585470" cy="688975"/>
                        </a:xfrm>
                        <a:prstGeom prst="rect">
                          <a:avLst/>
                        </a:prstGeom>
                        <a:noFill/>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6.10pt;height:54.25pt;mso-wrap-distance-left:0.00pt;mso-wrap-distance-top:0.00pt;mso-wrap-distance-right:0.00pt;mso-wrap-distance-bottom:0.00pt;" stroked="false">
                <v:path textboxrect="0,0,0,0"/>
                <v:imagedata r:id="rId17" o:title=""/>
              </v:shape>
            </w:pict>
          </mc:Fallback>
        </mc:AlternateContent>
      </w:r>
    </w:p>
    <w:p w:rsidR="00EC4029" w:rsidRDefault="00D23408">
      <w:pPr>
        <w:spacing w:after="120" w:line="240" w:lineRule="auto"/>
        <w:ind w:firstLine="709"/>
        <w:jc w:val="center"/>
        <w:rPr>
          <w:rFonts w:ascii="Times New Roman" w:eastAsia="Calibri" w:hAnsi="Times New Roman" w:cs="Times New Roman"/>
          <w:b/>
          <w:sz w:val="32"/>
          <w:szCs w:val="32"/>
          <w:lang w:eastAsia="ru-RU"/>
        </w:rPr>
      </w:pPr>
      <w:r>
        <w:rPr>
          <w:rFonts w:ascii="Times New Roman" w:eastAsia="Calibri" w:hAnsi="Times New Roman" w:cs="Times New Roman"/>
          <w:b/>
          <w:sz w:val="32"/>
          <w:szCs w:val="32"/>
          <w:lang w:eastAsia="ru-RU"/>
        </w:rPr>
        <w:t xml:space="preserve">АДМИНИСТРАЦИЯ ГОРОДА НЕФТЕЮГАНСКА                              </w:t>
      </w:r>
    </w:p>
    <w:p w:rsidR="00EC4029" w:rsidRDefault="00D23408">
      <w:pPr>
        <w:spacing w:after="120" w:line="240" w:lineRule="auto"/>
        <w:ind w:firstLine="709"/>
        <w:jc w:val="center"/>
        <w:rPr>
          <w:rFonts w:ascii="Times New Roman" w:eastAsia="Calibri" w:hAnsi="Times New Roman" w:cs="Times New Roman"/>
          <w:b/>
          <w:sz w:val="40"/>
          <w:szCs w:val="40"/>
          <w:lang w:eastAsia="ru-RU"/>
        </w:rPr>
      </w:pPr>
      <w:r>
        <w:rPr>
          <w:rFonts w:ascii="Times New Roman" w:eastAsia="Calibri" w:hAnsi="Times New Roman" w:cs="Times New Roman"/>
          <w:b/>
          <w:sz w:val="40"/>
          <w:szCs w:val="40"/>
          <w:lang w:eastAsia="ru-RU"/>
        </w:rPr>
        <w:t>ПОСТАНОВЛЕНИЕ</w:t>
      </w:r>
    </w:p>
    <w:p w:rsidR="00EC4029" w:rsidRDefault="00D23408">
      <w:pPr>
        <w:spacing w:after="0" w:line="240" w:lineRule="auto"/>
        <w:jc w:val="both"/>
        <w:rPr>
          <w:rFonts w:ascii="Times New Roman" w:eastAsia="Calibri" w:hAnsi="Times New Roman" w:cs="Times New Roman"/>
          <w:sz w:val="28"/>
          <w:szCs w:val="28"/>
          <w:lang w:eastAsia="ru-RU"/>
        </w:rPr>
      </w:pPr>
      <w:r>
        <w:rPr>
          <w:rFonts w:ascii="Times New Roman" w:hAnsi="Times New Roman"/>
          <w:sz w:val="28"/>
          <w:szCs w:val="28"/>
        </w:rPr>
        <w:t>15.10.2025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№113-нп</w:t>
      </w:r>
    </w:p>
    <w:p w:rsidR="00EC4029" w:rsidRDefault="00D23408">
      <w:pPr>
        <w:spacing w:after="0" w:line="240" w:lineRule="auto"/>
        <w:jc w:val="center"/>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г.Нефтеюганск</w:t>
      </w:r>
      <w:proofErr w:type="spellEnd"/>
      <w:r>
        <w:rPr>
          <w:rFonts w:ascii="Times New Roman" w:eastAsia="Calibri" w:hAnsi="Times New Roman" w:cs="Times New Roman"/>
          <w:sz w:val="24"/>
          <w:szCs w:val="24"/>
          <w:lang w:eastAsia="ru-RU"/>
        </w:rPr>
        <w:t xml:space="preserve"> </w:t>
      </w:r>
    </w:p>
    <w:p w:rsidR="00EC4029" w:rsidRDefault="00EC4029">
      <w:pPr>
        <w:spacing w:after="0" w:line="240" w:lineRule="auto"/>
        <w:ind w:firstLine="709"/>
        <w:rPr>
          <w:rFonts w:ascii="Times New Roman" w:eastAsia="Calibri" w:hAnsi="Times New Roman" w:cs="Times New Roman"/>
          <w:b/>
          <w:sz w:val="28"/>
          <w:szCs w:val="28"/>
          <w:lang w:eastAsia="ru-RU"/>
        </w:rPr>
      </w:pPr>
    </w:p>
    <w:p w:rsidR="00EC4029" w:rsidRDefault="00D23408">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 утверждении Порядка определения объёма и условий </w:t>
      </w:r>
    </w:p>
    <w:p w:rsidR="00EC4029" w:rsidRDefault="00D23408">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Pr>
          <w:rFonts w:ascii="Times New Roman" w:eastAsia="Times New Roman" w:hAnsi="Times New Roman" w:cs="Times New Roman"/>
          <w:b/>
          <w:bCs/>
          <w:sz w:val="28"/>
          <w:szCs w:val="28"/>
          <w:lang w:eastAsia="ru-RU"/>
        </w:rPr>
        <w:t>редоставления из бюджета города Нефтеюганска субсидии муниципальным учреждениям, подведомственным департаменту образования администрации г</w:t>
      </w:r>
      <w:r>
        <w:rPr>
          <w:rFonts w:ascii="Times New Roman" w:eastAsia="Times New Roman" w:hAnsi="Times New Roman" w:cs="Times New Roman"/>
          <w:b/>
          <w:sz w:val="28"/>
          <w:szCs w:val="28"/>
          <w:lang w:eastAsia="ru-RU"/>
        </w:rPr>
        <w:t>орода Нефтеюганска,</w:t>
      </w:r>
      <w:r>
        <w:rPr>
          <w:rFonts w:ascii="Times New Roman" w:eastAsia="Times New Roman" w:hAnsi="Times New Roman" w:cs="Times New Roman"/>
          <w:b/>
          <w:bCs/>
          <w:sz w:val="28"/>
          <w:szCs w:val="28"/>
          <w:lang w:eastAsia="ru-RU"/>
        </w:rPr>
        <w:t xml:space="preserve"> на иные цели: </w:t>
      </w:r>
      <w:r>
        <w:rPr>
          <w:rFonts w:ascii="Times New Roman" w:hAnsi="Times New Roman" w:cs="Times New Roman"/>
          <w:b/>
          <w:bCs/>
          <w:sz w:val="28"/>
          <w:szCs w:val="28"/>
        </w:rPr>
        <w:t>на реализацию инициативных проектов (в 2025 году)</w:t>
      </w:r>
      <w:r>
        <w:rPr>
          <w:rFonts w:ascii="Times New Roman" w:eastAsia="Times New Roman" w:hAnsi="Times New Roman" w:cs="Times New Roman"/>
          <w:b/>
          <w:bCs/>
          <w:sz w:val="28"/>
          <w:szCs w:val="28"/>
          <w:lang w:eastAsia="ru-RU"/>
        </w:rPr>
        <w:t xml:space="preserve"> </w:t>
      </w:r>
    </w:p>
    <w:p w:rsidR="00EC4029" w:rsidRDefault="00EC4029">
      <w:pPr>
        <w:shd w:val="clear" w:color="auto" w:fill="FFFFFF"/>
        <w:spacing w:after="0" w:line="240" w:lineRule="auto"/>
        <w:jc w:val="center"/>
        <w:rPr>
          <w:rFonts w:ascii="Times New Roman" w:eastAsia="Times New Roman" w:hAnsi="Times New Roman" w:cs="Times New Roman"/>
          <w:sz w:val="28"/>
          <w:szCs w:val="28"/>
          <w:lang w:eastAsia="ru-RU"/>
        </w:rPr>
      </w:pPr>
    </w:p>
    <w:p w:rsidR="00EC4029" w:rsidRDefault="00D2340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со статьёй 78.1 Бюджетного кодекса Российской Федерации, постановлением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объёма и условия предоставления бюджетным и автономным учреждениям субсидий на иные цели», Уставом города Нефтеюганска, решением Думы города Нефтеюганска от 23.12.2024 № 700-</w:t>
      </w:r>
      <w:r>
        <w:rPr>
          <w:rFonts w:ascii="Times New Roman" w:eastAsia="Times New Roman" w:hAnsi="Times New Roman" w:cs="Times New Roman"/>
          <w:sz w:val="28"/>
          <w:szCs w:val="28"/>
          <w:lang w:val="en-US" w:eastAsia="ru-RU"/>
        </w:rPr>
        <w:t>VII</w:t>
      </w:r>
      <w:r>
        <w:rPr>
          <w:rFonts w:ascii="Times New Roman" w:eastAsia="Times New Roman" w:hAnsi="Times New Roman" w:cs="Times New Roman"/>
          <w:sz w:val="28"/>
          <w:szCs w:val="28"/>
          <w:lang w:eastAsia="ru-RU"/>
        </w:rPr>
        <w:t xml:space="preserve"> «О бюджете города Нефтеюганска на 2025 год и плановый период 2026 и 2027 годов», </w:t>
      </w:r>
      <w:r>
        <w:rPr>
          <w:rFonts w:ascii="Times New Roman" w:hAnsi="Times New Roman" w:cs="Times New Roman"/>
          <w:sz w:val="28"/>
          <w:szCs w:val="28"/>
        </w:rPr>
        <w:t>постановлением администрации города Нефтеюганска от 09.11.2022 № 2294-п</w:t>
      </w:r>
      <w:r>
        <w:rPr>
          <w:rFonts w:ascii="Times New Roman" w:eastAsia="Times New Roman" w:hAnsi="Times New Roman" w:cs="Times New Roman"/>
          <w:sz w:val="28"/>
          <w:szCs w:val="28"/>
          <w:lang w:eastAsia="ru-RU"/>
        </w:rPr>
        <w:t xml:space="preserve">  «Об утверждении </w:t>
      </w:r>
      <w:r>
        <w:rPr>
          <w:rFonts w:ascii="Times New Roman" w:hAnsi="Times New Roman" w:cs="Times New Roman"/>
          <w:sz w:val="28"/>
          <w:szCs w:val="28"/>
        </w:rPr>
        <w:t xml:space="preserve">муниципальной программы города Нефтеюганска «Развитие гражданского общества» </w:t>
      </w:r>
      <w:r>
        <w:rPr>
          <w:rFonts w:ascii="Times New Roman" w:eastAsia="Times New Roman" w:hAnsi="Times New Roman" w:cs="Times New Roman"/>
          <w:sz w:val="28"/>
          <w:szCs w:val="28"/>
          <w:lang w:eastAsia="ru-RU"/>
        </w:rPr>
        <w:t>администрация города Нефтеюганска постановляет:</w:t>
      </w:r>
    </w:p>
    <w:p w:rsidR="00EC4029" w:rsidRDefault="00D2340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1.Утвердить Порядок определения объёма и условий предоставления из бюджета города Нефтеюганска субсидии муниципальным учреждениям, подведомственным департаменту образования администрации города Нефтеюганска, на иные цели: на реализацию инициативных проектов (в 2025 году) согласно приложению к постановлению.</w:t>
      </w:r>
    </w:p>
    <w:p w:rsidR="00EC4029" w:rsidRDefault="00D2340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2.Обнародовать (опубликовать) постановление в газете «Здравствуйте, </w:t>
      </w:r>
      <w:proofErr w:type="spellStart"/>
      <w:r>
        <w:rPr>
          <w:rFonts w:ascii="Times New Roman" w:eastAsia="Times New Roman" w:hAnsi="Times New Roman" w:cs="Times New Roman"/>
          <w:sz w:val="28"/>
          <w:szCs w:val="28"/>
          <w:lang w:eastAsia="ru-RU"/>
        </w:rPr>
        <w:t>нефтеюганцы</w:t>
      </w:r>
      <w:proofErr w:type="spellEnd"/>
      <w:r>
        <w:rPr>
          <w:rFonts w:ascii="Times New Roman" w:eastAsia="Times New Roman" w:hAnsi="Times New Roman" w:cs="Times New Roman"/>
          <w:sz w:val="28"/>
          <w:szCs w:val="28"/>
          <w:lang w:eastAsia="ru-RU"/>
        </w:rPr>
        <w:t>!».</w:t>
      </w:r>
    </w:p>
    <w:p w:rsidR="00EC4029" w:rsidRDefault="00D2340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3.Информационно-аналитическому отделу администрации города (Михайлова Ю.В.) разместить постановление на официальном сайте органов местного самоуправления города Нефтеюганска.</w:t>
      </w:r>
    </w:p>
    <w:p w:rsidR="00EC4029" w:rsidRDefault="00D2340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4.Постановление вступает в силу после его официального опубликования.</w:t>
      </w:r>
    </w:p>
    <w:p w:rsidR="00EC4029" w:rsidRDefault="00D2340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5.Контроль исполнения постановления возложить на заместителя главы города </w:t>
      </w:r>
      <w:proofErr w:type="spellStart"/>
      <w:r>
        <w:rPr>
          <w:rFonts w:ascii="Times New Roman" w:eastAsia="Times New Roman" w:hAnsi="Times New Roman" w:cs="Times New Roman"/>
          <w:sz w:val="28"/>
          <w:szCs w:val="28"/>
          <w:lang w:eastAsia="ru-RU"/>
        </w:rPr>
        <w:t>Н.И.Кондратьева</w:t>
      </w:r>
      <w:proofErr w:type="spellEnd"/>
      <w:r>
        <w:rPr>
          <w:rFonts w:ascii="Times New Roman" w:eastAsia="Times New Roman" w:hAnsi="Times New Roman" w:cs="Times New Roman"/>
          <w:sz w:val="28"/>
          <w:szCs w:val="28"/>
          <w:lang w:eastAsia="ru-RU"/>
        </w:rPr>
        <w:t>.</w:t>
      </w:r>
    </w:p>
    <w:p w:rsidR="00EC4029" w:rsidRDefault="00EC4029">
      <w:pPr>
        <w:spacing w:after="0" w:line="240" w:lineRule="auto"/>
        <w:jc w:val="both"/>
        <w:rPr>
          <w:rFonts w:ascii="Times New Roman" w:hAnsi="Times New Roman" w:cs="Times New Roman"/>
          <w:sz w:val="28"/>
          <w:szCs w:val="28"/>
        </w:rPr>
      </w:pPr>
    </w:p>
    <w:p w:rsidR="00EC4029" w:rsidRDefault="00EC4029">
      <w:pPr>
        <w:spacing w:after="0" w:line="240" w:lineRule="auto"/>
        <w:jc w:val="both"/>
        <w:rPr>
          <w:rFonts w:ascii="Times New Roman" w:hAnsi="Times New Roman" w:cs="Times New Roman"/>
          <w:sz w:val="28"/>
          <w:szCs w:val="28"/>
        </w:rPr>
      </w:pP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города Нефтеюганска                                                                                     </w:t>
      </w:r>
      <w:proofErr w:type="spellStart"/>
      <w:r>
        <w:rPr>
          <w:rFonts w:ascii="Times New Roman" w:hAnsi="Times New Roman" w:cs="Times New Roman"/>
          <w:sz w:val="28"/>
          <w:szCs w:val="28"/>
        </w:rPr>
        <w:t>Ю.В.Чекунов</w:t>
      </w:r>
      <w:proofErr w:type="spellEnd"/>
    </w:p>
    <w:p w:rsidR="00EC4029" w:rsidRDefault="00EC4029">
      <w:pPr>
        <w:spacing w:after="0" w:line="240" w:lineRule="auto"/>
        <w:ind w:left="5664"/>
        <w:jc w:val="right"/>
        <w:rPr>
          <w:rFonts w:ascii="Times New Roman" w:eastAsia="Times New Roman" w:hAnsi="Times New Roman" w:cs="Times New Roman"/>
          <w:sz w:val="28"/>
          <w:szCs w:val="28"/>
          <w:lang w:eastAsia="ru-RU"/>
        </w:rPr>
      </w:pPr>
    </w:p>
    <w:p w:rsidR="00EC4029" w:rsidRDefault="00EC4029">
      <w:pPr>
        <w:spacing w:after="0" w:line="240" w:lineRule="auto"/>
        <w:ind w:left="5664"/>
        <w:jc w:val="right"/>
        <w:rPr>
          <w:rFonts w:ascii="Times New Roman" w:eastAsia="Times New Roman" w:hAnsi="Times New Roman" w:cs="Times New Roman"/>
          <w:sz w:val="28"/>
          <w:szCs w:val="28"/>
          <w:lang w:eastAsia="ru-RU"/>
        </w:rPr>
      </w:pPr>
    </w:p>
    <w:p w:rsidR="00EC4029" w:rsidRDefault="00EC4029">
      <w:pPr>
        <w:spacing w:after="0" w:line="240" w:lineRule="auto"/>
        <w:ind w:left="5664"/>
        <w:jc w:val="right"/>
        <w:rPr>
          <w:rFonts w:ascii="Times New Roman" w:eastAsia="Times New Roman" w:hAnsi="Times New Roman" w:cs="Times New Roman"/>
          <w:sz w:val="28"/>
          <w:szCs w:val="28"/>
          <w:lang w:eastAsia="ru-RU"/>
        </w:rPr>
      </w:pPr>
    </w:p>
    <w:p w:rsidR="00EC4029" w:rsidRDefault="00EC4029">
      <w:pPr>
        <w:spacing w:after="0" w:line="240" w:lineRule="auto"/>
        <w:ind w:left="5664"/>
        <w:jc w:val="right"/>
        <w:rPr>
          <w:rFonts w:ascii="Times New Roman" w:eastAsia="Times New Roman" w:hAnsi="Times New Roman" w:cs="Times New Roman"/>
          <w:sz w:val="28"/>
          <w:szCs w:val="28"/>
          <w:lang w:eastAsia="ru-RU"/>
        </w:rPr>
      </w:pPr>
    </w:p>
    <w:p w:rsidR="00EC4029" w:rsidRDefault="00D23408">
      <w:pPr>
        <w:spacing w:after="0" w:line="240" w:lineRule="auto"/>
        <w:ind w:left="566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rsidR="00EC4029" w:rsidRDefault="00D23408">
      <w:pPr>
        <w:spacing w:after="0" w:line="240" w:lineRule="auto"/>
        <w:ind w:left="566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w:t>
      </w:r>
    </w:p>
    <w:p w:rsidR="00EC4029" w:rsidRDefault="00D23408">
      <w:pPr>
        <w:spacing w:after="0" w:line="240" w:lineRule="auto"/>
        <w:ind w:left="5664" w:firstLine="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города</w:t>
      </w:r>
    </w:p>
    <w:p w:rsidR="00EC4029" w:rsidRDefault="00D23408">
      <w:pPr>
        <w:spacing w:after="0" w:line="240" w:lineRule="auto"/>
        <w:ind w:left="141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w:t>
      </w:r>
      <w:r>
        <w:rPr>
          <w:rFonts w:ascii="Times New Roman" w:hAnsi="Times New Roman"/>
          <w:sz w:val="28"/>
          <w:szCs w:val="28"/>
        </w:rPr>
        <w:t xml:space="preserve">15.10.2025 </w:t>
      </w:r>
      <w:r>
        <w:rPr>
          <w:rFonts w:ascii="Times New Roman" w:eastAsia="Times New Roman" w:hAnsi="Times New Roman" w:cs="Times New Roman"/>
          <w:sz w:val="28"/>
          <w:szCs w:val="28"/>
          <w:lang w:eastAsia="ru-RU"/>
        </w:rPr>
        <w:t>№ 113-нп</w:t>
      </w:r>
    </w:p>
    <w:p w:rsidR="00EC4029" w:rsidRDefault="00EC4029">
      <w:pPr>
        <w:spacing w:after="0" w:line="240" w:lineRule="auto"/>
        <w:ind w:left="1416"/>
        <w:jc w:val="right"/>
        <w:rPr>
          <w:rFonts w:ascii="Times New Roman" w:eastAsia="Times New Roman" w:hAnsi="Times New Roman" w:cs="Times New Roman"/>
          <w:sz w:val="28"/>
          <w:szCs w:val="28"/>
          <w:lang w:eastAsia="ru-RU"/>
        </w:rPr>
      </w:pPr>
    </w:p>
    <w:p w:rsidR="00EC4029" w:rsidRDefault="00D234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Порядок </w:t>
      </w:r>
    </w:p>
    <w:p w:rsidR="00EC4029" w:rsidRDefault="00D234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определения объёма и условий предоставления из бюджета города Нефтеюганска субсидии</w:t>
      </w:r>
      <w:r>
        <w:t xml:space="preserve"> </w:t>
      </w:r>
      <w:r>
        <w:rPr>
          <w:rFonts w:ascii="Times New Roman" w:hAnsi="Times New Roman" w:cs="Times New Roman"/>
          <w:sz w:val="28"/>
          <w:szCs w:val="28"/>
        </w:rPr>
        <w:t xml:space="preserve">муниципальным учреждениям, подведомственным департаменту образования администрации города Нефтеюганска, на иные цели: </w:t>
      </w:r>
    </w:p>
    <w:p w:rsidR="00EC4029" w:rsidRDefault="00D234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eastAsia="Times New Roman" w:hAnsi="Times New Roman" w:cs="Times New Roman"/>
          <w:sz w:val="28"/>
          <w:szCs w:val="28"/>
          <w:lang w:eastAsia="ru-RU"/>
        </w:rPr>
        <w:t xml:space="preserve">реализацию инициативных проектов (в 2025 году)  </w:t>
      </w:r>
    </w:p>
    <w:p w:rsidR="00EC4029" w:rsidRDefault="00EC4029">
      <w:pPr>
        <w:spacing w:after="0" w:line="240" w:lineRule="auto"/>
        <w:jc w:val="both"/>
        <w:rPr>
          <w:rFonts w:ascii="Times New Roman" w:hAnsi="Times New Roman" w:cs="Times New Roman"/>
          <w:sz w:val="28"/>
          <w:szCs w:val="28"/>
        </w:rPr>
      </w:pP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1.Общие положения о предоставлении субсидии</w:t>
      </w:r>
    </w:p>
    <w:p w:rsidR="00EC4029" w:rsidRDefault="00D23408">
      <w:pPr>
        <w:pStyle w:val="af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1.1.Настоящий порядок определения объёма и условий предоставления из бюджета города Нефтеюганска субсидии </w:t>
      </w:r>
      <w:r>
        <w:rPr>
          <w:rFonts w:ascii="Times New Roman" w:eastAsia="Times New Roman" w:hAnsi="Times New Roman" w:cs="Times New Roman"/>
          <w:sz w:val="28"/>
          <w:szCs w:val="28"/>
          <w:lang w:eastAsia="ru-RU"/>
        </w:rPr>
        <w:t>муниципальным учреждениям, подведомственным департаменту образования администрации города Нефтеюганска</w:t>
      </w:r>
      <w:r>
        <w:rPr>
          <w:rFonts w:ascii="Times New Roman" w:hAnsi="Times New Roman" w:cs="Times New Roman"/>
          <w:sz w:val="28"/>
          <w:szCs w:val="28"/>
        </w:rPr>
        <w:t xml:space="preserve">, на иные цели: на </w:t>
      </w:r>
      <w:r>
        <w:rPr>
          <w:rFonts w:ascii="Times New Roman" w:eastAsia="Times New Roman" w:hAnsi="Times New Roman" w:cs="Times New Roman"/>
          <w:sz w:val="28"/>
          <w:szCs w:val="28"/>
          <w:lang w:eastAsia="ru-RU"/>
        </w:rPr>
        <w:t>реализацию инициативных проектов (в 2025 году) (далее - Порядок)</w:t>
      </w:r>
      <w:r>
        <w:rPr>
          <w:rFonts w:ascii="Times New Roman" w:hAnsi="Times New Roman" w:cs="Times New Roman"/>
          <w:sz w:val="28"/>
          <w:szCs w:val="28"/>
        </w:rPr>
        <w:t>, устанавливает правила определения объёма и условий предоставления из бюджета города Нефтеюганска субсидии на реализацию инициативных проектов в 2025 году (далее - субсидия) муниципальным учреждениям (далее - учреждение), подведомственным департаменту образования администрации города Нефтеюганска.</w:t>
      </w:r>
    </w:p>
    <w:p w:rsidR="00EC4029" w:rsidRDefault="00D23408">
      <w:pPr>
        <w:pStyle w:val="af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2.Целью</w:t>
      </w:r>
      <w:proofErr w:type="gramEnd"/>
      <w:r>
        <w:rPr>
          <w:rFonts w:ascii="Times New Roman" w:hAnsi="Times New Roman" w:cs="Times New Roman"/>
          <w:sz w:val="28"/>
          <w:szCs w:val="28"/>
        </w:rPr>
        <w:t xml:space="preserve"> предоставления субсидии является реализация инициативного проекта в рамках мероприятий муниципальной программы города Нефтеюганска «Развитие гражданского общества», утверждённой постановлением администрации города Нефтеюганска от 09.11.2022 № 2294-п (далее - программа).</w:t>
      </w:r>
    </w:p>
    <w:p w:rsidR="00EC4029" w:rsidRDefault="00D2340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t>1.</w:t>
      </w:r>
      <w:proofErr w:type="gramStart"/>
      <w:r>
        <w:rPr>
          <w:rFonts w:ascii="Times New Roman" w:hAnsi="Times New Roman" w:cs="Times New Roman"/>
          <w:sz w:val="28"/>
          <w:szCs w:val="28"/>
        </w:rPr>
        <w:t>3.Субсидия</w:t>
      </w:r>
      <w:proofErr w:type="gramEnd"/>
      <w:r>
        <w:rPr>
          <w:rFonts w:ascii="Times New Roman" w:hAnsi="Times New Roman" w:cs="Times New Roman"/>
          <w:sz w:val="28"/>
          <w:szCs w:val="28"/>
        </w:rPr>
        <w:t xml:space="preserve"> предоставляется учреждению на реализацию инициативного проекта.</w:t>
      </w:r>
    </w:p>
    <w:p w:rsidR="00EC4029" w:rsidRDefault="00D2340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t>1.</w:t>
      </w:r>
      <w:proofErr w:type="gramStart"/>
      <w:r>
        <w:rPr>
          <w:rFonts w:ascii="Times New Roman" w:hAnsi="Times New Roman" w:cs="Times New Roman"/>
          <w:sz w:val="28"/>
          <w:szCs w:val="28"/>
        </w:rPr>
        <w:t>4.Субсидия</w:t>
      </w:r>
      <w:proofErr w:type="gramEnd"/>
      <w:r>
        <w:rPr>
          <w:rFonts w:ascii="Times New Roman" w:hAnsi="Times New Roman" w:cs="Times New Roman"/>
          <w:sz w:val="28"/>
          <w:szCs w:val="28"/>
        </w:rPr>
        <w:t xml:space="preserve"> предоставляется департаментом образования администрации города Нефтеюганска (далее - департамент), осуществляющим функции и полномочия учредителя учреждения, до которого как до главного распорядителя и получателя бюджетных средств доведены лимиты бюджетных обязательств.</w:t>
      </w:r>
    </w:p>
    <w:p w:rsidR="00EC4029" w:rsidRDefault="00EC4029">
      <w:pPr>
        <w:spacing w:after="0" w:line="240" w:lineRule="auto"/>
        <w:jc w:val="both"/>
        <w:rPr>
          <w:rFonts w:ascii="Times New Roman" w:hAnsi="Times New Roman" w:cs="Times New Roman"/>
          <w:sz w:val="28"/>
          <w:szCs w:val="28"/>
        </w:rPr>
      </w:pPr>
    </w:p>
    <w:p w:rsidR="00EC4029" w:rsidRDefault="00D23408">
      <w:pPr>
        <w:spacing w:after="0" w:line="240" w:lineRule="auto"/>
        <w:rPr>
          <w:rFonts w:ascii="Times New Roman" w:hAnsi="Times New Roman" w:cs="Times New Roman"/>
          <w:sz w:val="28"/>
          <w:szCs w:val="28"/>
        </w:rPr>
      </w:pPr>
      <w:r>
        <w:rPr>
          <w:rFonts w:ascii="Times New Roman" w:hAnsi="Times New Roman" w:cs="Times New Roman"/>
          <w:sz w:val="28"/>
          <w:szCs w:val="28"/>
        </w:rPr>
        <w:tab/>
        <w:t>2.Условия и порядок предоставления субсидии</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2.1.Предоставление субсидии осуществляется при условии соблюдения учреждением на первое число месяца, предшествующего месяцу, в котором планируется заключение соглашения, требований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бюджет города Нефтеюганска субсидий, бюджетных инвестиций, предоставленных в том числе в соответствии с иными правовыми актами.</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2.</w:t>
      </w:r>
      <w:proofErr w:type="gramStart"/>
      <w:r>
        <w:rPr>
          <w:rFonts w:ascii="Times New Roman" w:hAnsi="Times New Roman" w:cs="Times New Roman"/>
          <w:sz w:val="28"/>
          <w:szCs w:val="28"/>
        </w:rPr>
        <w:t>2.Для</w:t>
      </w:r>
      <w:proofErr w:type="gramEnd"/>
      <w:r>
        <w:rPr>
          <w:rFonts w:ascii="Times New Roman" w:hAnsi="Times New Roman" w:cs="Times New Roman"/>
          <w:sz w:val="28"/>
          <w:szCs w:val="28"/>
        </w:rPr>
        <w:t xml:space="preserve"> получения субсидии учреждение представляет в департамент следующие документы:</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-пояснительную записку, содержащую обоснование необходимости предоставления субсидии на цели в соответствии с пунктами 1.2, 1.3 настоящего Порядка, включая расчёт-обоснование размера субсидии, в том числе предварительную смету на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-план мероприятий.</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2.3.В целях подтверждения соответствия получателя субсидии условиям пункта 2.1 настоящего Порядка департамент посредством межведомственного информационного взаимодействия запрашивает справку об исполнении налогоплательщиком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и получает её от Федеральной налоговой службы Российской Федерации.</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proofErr w:type="gramStart"/>
      <w:r>
        <w:rPr>
          <w:rFonts w:ascii="Times New Roman" w:hAnsi="Times New Roman" w:cs="Times New Roman"/>
          <w:sz w:val="28"/>
          <w:szCs w:val="28"/>
        </w:rPr>
        <w:t>4.Рассмотрение</w:t>
      </w:r>
      <w:proofErr w:type="gramEnd"/>
      <w:r>
        <w:rPr>
          <w:rFonts w:ascii="Times New Roman" w:hAnsi="Times New Roman" w:cs="Times New Roman"/>
          <w:sz w:val="28"/>
          <w:szCs w:val="28"/>
        </w:rPr>
        <w:t xml:space="preserve"> документов и принятие решения о предоставлении либо об отказе в предоставлении субсидии осуществляется департаментом в срок не более 15 рабочих дней со дня поступления документов, указанных в пункте 2.2 настоящего Порядка.</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Решение о предоставлении либо об отказе в предоставлении субсидии оформляется приказом департамента.</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proofErr w:type="gramStart"/>
      <w:r>
        <w:rPr>
          <w:rFonts w:ascii="Times New Roman" w:hAnsi="Times New Roman" w:cs="Times New Roman"/>
          <w:sz w:val="28"/>
          <w:szCs w:val="28"/>
        </w:rPr>
        <w:t>5.Основаниями</w:t>
      </w:r>
      <w:proofErr w:type="gramEnd"/>
      <w:r>
        <w:rPr>
          <w:rFonts w:ascii="Times New Roman" w:hAnsi="Times New Roman" w:cs="Times New Roman"/>
          <w:sz w:val="28"/>
          <w:szCs w:val="28"/>
        </w:rPr>
        <w:t xml:space="preserve"> для отказа учреждению в предоставлении субсидии являются:</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-непредставление (представление не в полном объёме) документов, установленных пунктом 2.2 настоящего Порядка;</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-неисполнение учреждением требований, определенных пунктом 2.1 настоящего Порядка;</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-недостоверность информации, содержащейся в документах, указанных в пункте 2.2 и представленных учреждением;</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-отсутствие необходимого объёма лимитов бюджетных обязательств на предоставление субсидии, доведённых в соответствии с бюджетным законодательством Российской Федерации департаменту.</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Решение об отказе в предоставлении субсидии оформляется приказом департамента, который направляется учреждению в течение 5 рабочих дней со дня его издания.</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highlight w:val="white"/>
        </w:rPr>
        <w:t>2.</w:t>
      </w:r>
      <w:proofErr w:type="gramStart"/>
      <w:r>
        <w:rPr>
          <w:rFonts w:ascii="Times New Roman" w:hAnsi="Times New Roman" w:cs="Times New Roman"/>
          <w:sz w:val="28"/>
          <w:szCs w:val="28"/>
          <w:highlight w:val="white"/>
        </w:rPr>
        <w:t>6.</w:t>
      </w:r>
      <w:r>
        <w:rPr>
          <w:rFonts w:ascii="Times New Roman" w:hAnsi="Times New Roman" w:cs="Times New Roman"/>
          <w:sz w:val="28"/>
          <w:szCs w:val="28"/>
        </w:rPr>
        <w:t>Размер</w:t>
      </w:r>
      <w:proofErr w:type="gramEnd"/>
      <w:r>
        <w:rPr>
          <w:rFonts w:ascii="Times New Roman" w:hAnsi="Times New Roman" w:cs="Times New Roman"/>
          <w:sz w:val="28"/>
          <w:szCs w:val="28"/>
        </w:rPr>
        <w:t xml:space="preserve"> субсидии определен решением Думы города Нефтеюганска 23.12.2024 № 700-VII «О бюджете города Нефтеюганска на 2025 год и плановый период 2026 и 2027 годов» и составляет 1 020 760 (один миллион двадцать тысяч семьсот шестьдесят) рублей на реализацию инициативного проекта «От благоустройства территории к патриотическому воспитанию».</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proofErr w:type="gramStart"/>
      <w:r>
        <w:rPr>
          <w:rFonts w:ascii="Times New Roman" w:hAnsi="Times New Roman" w:cs="Times New Roman"/>
          <w:sz w:val="28"/>
          <w:szCs w:val="28"/>
        </w:rPr>
        <w:t>7.Предоставление</w:t>
      </w:r>
      <w:proofErr w:type="gramEnd"/>
      <w:r>
        <w:rPr>
          <w:rFonts w:ascii="Times New Roman" w:hAnsi="Times New Roman" w:cs="Times New Roman"/>
          <w:sz w:val="28"/>
          <w:szCs w:val="28"/>
        </w:rPr>
        <w:t xml:space="preserve"> субсидии осуществляется на основании соглашения, заключаемого между департаментом и учреждением, проект которого направляется в учреждение для подписания в течение 5 рабочих дней после принятия решения о предоставлении субсидии. Учреждение в течение 5 рабочих </w:t>
      </w:r>
      <w:r>
        <w:rPr>
          <w:rFonts w:ascii="Times New Roman" w:hAnsi="Times New Roman" w:cs="Times New Roman"/>
          <w:sz w:val="28"/>
          <w:szCs w:val="28"/>
        </w:rPr>
        <w:lastRenderedPageBreak/>
        <w:t>дней со дня получения проекта соглашения должно подписать соглашение и вернуть в адрес департамента для подписания. Департамент в течение 5 рабочих дней с даты поступления подписанного соглашения осуществляет его подписание.</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proofErr w:type="gramStart"/>
      <w:r>
        <w:rPr>
          <w:rFonts w:ascii="Times New Roman" w:hAnsi="Times New Roman" w:cs="Times New Roman"/>
          <w:sz w:val="28"/>
          <w:szCs w:val="28"/>
        </w:rPr>
        <w:t>8.Соглашение</w:t>
      </w:r>
      <w:proofErr w:type="gramEnd"/>
      <w:r>
        <w:rPr>
          <w:rFonts w:ascii="Times New Roman" w:hAnsi="Times New Roman" w:cs="Times New Roman"/>
          <w:sz w:val="28"/>
          <w:szCs w:val="28"/>
        </w:rPr>
        <w:t xml:space="preserve">, включая дополнительные соглашения, предусматривающие внесение в него изменений или его расторжение (далее - соглашение), заключается в соответствии с типовой формой, утверждённой приказом департамента финансов администрации города Нефтеюганска от </w:t>
      </w:r>
      <w:r>
        <w:rPr>
          <w:rFonts w:ascii="Times New Roman" w:hAnsi="Times New Roman" w:cs="Times New Roman"/>
          <w:sz w:val="28"/>
          <w:szCs w:val="28"/>
          <w:highlight w:val="white"/>
        </w:rPr>
        <w:t>15.10.2020 № 157-нп «Об утверждении типовой формы соглашения о предоставлении из бюджета города Нефтеюганска муниципальному бюджетному или автономному учреждению гор</w:t>
      </w:r>
      <w:r>
        <w:rPr>
          <w:rFonts w:ascii="Times New Roman" w:hAnsi="Times New Roman" w:cs="Times New Roman"/>
          <w:sz w:val="28"/>
          <w:szCs w:val="28"/>
        </w:rPr>
        <w:t>ода Нефтеюганска субсидии на иные цели» (далее – приказ № 157-нп).</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2.9.В соглашении указываются:</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цели предоставления субсидии с указанием наименования программы в соответствии с пунктом 1.2 настоящего Порядка;</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значения результатов предоставления субсидии;</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план мероприятий по достижению результатов предоставления субсидии;</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размер субсидии;</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сроки (график) перечисления субсидии;</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 сроки представления отчетности;</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порядок и сроки возврата сумм субсидии в случае несоблюдения учреждением целей, условий и порядка предоставления субсидии, определенных соглашением;</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основания и порядок внесения изменений в соглашение, в том числе в случае уменьшения департаменту, как получателю бюджетных средств, ранее доведённых лимитов бюджетных обязательств на предоставление субсидии;</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основания для досрочного прекращения соглашения по решению департамента в одностороннем порядке, в том числе в связи с:</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-реорганизацией (за исключением реорганизации в форме присоединения) или ликвидацией учреждения;</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-нарушением учреждением целей и условий предоставления субсидии, установленных настоящим Порядком и (или) соглашением;</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запрет на расторжение соглашения учреждением в одностороннем порядке;</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 иные положения (при необходимости).</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proofErr w:type="gramStart"/>
      <w:r>
        <w:rPr>
          <w:rFonts w:ascii="Times New Roman" w:hAnsi="Times New Roman" w:cs="Times New Roman"/>
          <w:sz w:val="28"/>
          <w:szCs w:val="28"/>
        </w:rPr>
        <w:t>10.Показателями</w:t>
      </w:r>
      <w:proofErr w:type="gramEnd"/>
      <w:r>
        <w:rPr>
          <w:rFonts w:ascii="Times New Roman" w:hAnsi="Times New Roman" w:cs="Times New Roman"/>
          <w:sz w:val="28"/>
          <w:szCs w:val="28"/>
        </w:rPr>
        <w:t>, необходимыми для достижения результатов предоставления субсидии, являются:</w:t>
      </w:r>
    </w:p>
    <w:p w:rsidR="00EC4029" w:rsidRDefault="00D23408">
      <w:pPr>
        <w:spacing w:after="0" w:line="240" w:lineRule="auto"/>
        <w:jc w:val="both"/>
        <w:rPr>
          <w:rFonts w:ascii="Times New Roman" w:hAnsi="Times New Roman" w:cs="Times New Roman"/>
          <w:sz w:val="28"/>
          <w:szCs w:val="28"/>
          <w:highlight w:val="white"/>
        </w:rPr>
      </w:pPr>
      <w:r>
        <w:rPr>
          <w:rFonts w:ascii="Times New Roman" w:hAnsi="Times New Roman" w:cs="Times New Roman"/>
          <w:sz w:val="28"/>
          <w:szCs w:val="28"/>
        </w:rPr>
        <w:tab/>
      </w:r>
      <w:r>
        <w:rPr>
          <w:rFonts w:ascii="Times New Roman" w:hAnsi="Times New Roman" w:cs="Times New Roman"/>
          <w:sz w:val="28"/>
          <w:szCs w:val="28"/>
          <w:highlight w:val="white"/>
        </w:rPr>
        <w:t>-создание школьного пространства, способствующего улучшению качества воспитательной работы;</w:t>
      </w:r>
    </w:p>
    <w:p w:rsidR="00EC4029" w:rsidRDefault="00D23408">
      <w:pPr>
        <w:spacing w:after="0" w:line="240" w:lineRule="auto"/>
        <w:ind w:firstLine="708"/>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-патриотическое воспитание </w:t>
      </w:r>
      <w:r>
        <w:rPr>
          <w:rFonts w:ascii="Times New Roman" w:hAnsi="Times New Roman" w:cs="Times New Roman"/>
          <w:sz w:val="28"/>
          <w:szCs w:val="28"/>
        </w:rPr>
        <w:t>подрастающего поколения.</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highlight w:val="white"/>
        </w:rPr>
        <w:tab/>
        <w:t>2.</w:t>
      </w:r>
      <w:proofErr w:type="gramStart"/>
      <w:r>
        <w:rPr>
          <w:rFonts w:ascii="Times New Roman" w:hAnsi="Times New Roman" w:cs="Times New Roman"/>
          <w:sz w:val="28"/>
          <w:szCs w:val="28"/>
          <w:highlight w:val="white"/>
        </w:rPr>
        <w:t>11.Субсидия</w:t>
      </w:r>
      <w:proofErr w:type="gramEnd"/>
      <w:r>
        <w:rPr>
          <w:rFonts w:ascii="Times New Roman" w:hAnsi="Times New Roman" w:cs="Times New Roman"/>
          <w:sz w:val="28"/>
          <w:szCs w:val="28"/>
          <w:highlight w:val="white"/>
        </w:rPr>
        <w:t xml:space="preserve"> перечисляется на лицевой счёт учре</w:t>
      </w:r>
      <w:r>
        <w:rPr>
          <w:rFonts w:ascii="Times New Roman" w:hAnsi="Times New Roman" w:cs="Times New Roman"/>
          <w:sz w:val="28"/>
          <w:szCs w:val="28"/>
        </w:rPr>
        <w:t>ждения, открытый в департаменте финансов администрации города Нефтеюганска, в соответствии со сроками выплаты субсидии и объёмами, установленными соглашением. Субсидия перечисляется в размере потребности на осуществление расходов.</w:t>
      </w:r>
    </w:p>
    <w:p w:rsidR="00EC4029" w:rsidRDefault="00EC4029">
      <w:pPr>
        <w:spacing w:after="0" w:line="240" w:lineRule="auto"/>
        <w:jc w:val="both"/>
        <w:rPr>
          <w:rFonts w:ascii="Times New Roman" w:hAnsi="Times New Roman" w:cs="Times New Roman"/>
          <w:sz w:val="28"/>
          <w:szCs w:val="28"/>
        </w:rPr>
      </w:pPr>
    </w:p>
    <w:p w:rsidR="00EC4029" w:rsidRDefault="00D23408">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EC4029" w:rsidRDefault="00EC4029">
      <w:pPr>
        <w:spacing w:after="0" w:line="240" w:lineRule="auto"/>
        <w:rPr>
          <w:rFonts w:ascii="Times New Roman" w:hAnsi="Times New Roman" w:cs="Times New Roman"/>
          <w:sz w:val="28"/>
          <w:szCs w:val="28"/>
        </w:rPr>
      </w:pPr>
    </w:p>
    <w:p w:rsidR="00EC4029" w:rsidRDefault="00D23408">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3.Требования к отчётности</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w:t>
      </w:r>
      <w:proofErr w:type="gramStart"/>
      <w:r>
        <w:rPr>
          <w:rFonts w:ascii="Times New Roman" w:hAnsi="Times New Roman" w:cs="Times New Roman"/>
          <w:sz w:val="28"/>
          <w:szCs w:val="28"/>
        </w:rPr>
        <w:t>1.Учреждение</w:t>
      </w:r>
      <w:proofErr w:type="gramEnd"/>
      <w:r>
        <w:rPr>
          <w:rFonts w:ascii="Times New Roman" w:hAnsi="Times New Roman" w:cs="Times New Roman"/>
          <w:sz w:val="28"/>
          <w:szCs w:val="28"/>
        </w:rPr>
        <w:t xml:space="preserve"> ежеквартально до 10 числа месяца, следующего за отчётным кварталом, представляет в департамент:</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-отчёт о расходах, источником финансового обеспечения которых является субсидия, по форме, утверждённой приказом № 157-нп;</w:t>
      </w:r>
    </w:p>
    <w:p w:rsidR="00EC4029" w:rsidRDefault="00D23408">
      <w:pPr>
        <w:spacing w:after="0" w:line="240" w:lineRule="auto"/>
        <w:ind w:firstLine="708"/>
        <w:jc w:val="both"/>
      </w:pPr>
      <w:r>
        <w:rPr>
          <w:rFonts w:ascii="Times New Roman" w:hAnsi="Times New Roman" w:cs="Times New Roman"/>
          <w:sz w:val="28"/>
          <w:szCs w:val="28"/>
        </w:rPr>
        <w:t>-отчёт о достижении значений результатов предоставления субсидии, показателей результативности по форме, утверждённой приказом № 157-нп;</w:t>
      </w:r>
    </w:p>
    <w:p w:rsidR="00EC4029" w:rsidRDefault="00D234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-отчёт о реализации плана мероприятий по достижению результатов   предоставления субсидии по форме, утверждённой приказом № 157-нп.</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w:t>
      </w:r>
      <w:proofErr w:type="gramStart"/>
      <w:r>
        <w:rPr>
          <w:rFonts w:ascii="Times New Roman" w:hAnsi="Times New Roman" w:cs="Times New Roman"/>
          <w:sz w:val="28"/>
          <w:szCs w:val="28"/>
        </w:rPr>
        <w:t>2.Отчёты</w:t>
      </w:r>
      <w:proofErr w:type="gramEnd"/>
      <w:r>
        <w:rPr>
          <w:rFonts w:ascii="Times New Roman" w:hAnsi="Times New Roman" w:cs="Times New Roman"/>
          <w:sz w:val="28"/>
          <w:szCs w:val="28"/>
        </w:rPr>
        <w:t xml:space="preserve"> предоставляются по состоянию на 1-е (первое) число первого месяца квартала, следующего за отчётным.</w:t>
      </w:r>
    </w:p>
    <w:p w:rsidR="00EC4029" w:rsidRDefault="00D234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w:t>
      </w:r>
      <w:proofErr w:type="gramStart"/>
      <w:r>
        <w:rPr>
          <w:rFonts w:ascii="Times New Roman" w:hAnsi="Times New Roman" w:cs="Times New Roman"/>
          <w:sz w:val="28"/>
          <w:szCs w:val="28"/>
        </w:rPr>
        <w:t>3.Департамент</w:t>
      </w:r>
      <w:proofErr w:type="gramEnd"/>
      <w:r>
        <w:rPr>
          <w:rFonts w:ascii="Times New Roman" w:hAnsi="Times New Roman" w:cs="Times New Roman"/>
          <w:sz w:val="28"/>
          <w:szCs w:val="28"/>
        </w:rPr>
        <w:t xml:space="preserve"> имеет право устанавливать в соглашении дополнительные формы отчётности и сроки их предоставления.</w:t>
      </w:r>
    </w:p>
    <w:p w:rsidR="00EC4029" w:rsidRDefault="00EC4029">
      <w:pPr>
        <w:spacing w:after="0" w:line="240" w:lineRule="auto"/>
        <w:jc w:val="both"/>
        <w:rPr>
          <w:rFonts w:ascii="Times New Roman" w:hAnsi="Times New Roman" w:cs="Times New Roman"/>
          <w:sz w:val="28"/>
          <w:szCs w:val="28"/>
        </w:rPr>
      </w:pPr>
    </w:p>
    <w:p w:rsidR="00EC4029" w:rsidRDefault="00D23408">
      <w:pPr>
        <w:widowControl w:val="0"/>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4.Порядок осуществления контроля за соблюдением целей, условий и порядка предоставления субсидии и ответственность за их несоблюдение</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1.Неиспользованные</w:t>
      </w:r>
      <w:proofErr w:type="gramEnd"/>
      <w:r>
        <w:rPr>
          <w:rFonts w:ascii="Times New Roman" w:eastAsia="Times New Roman" w:hAnsi="Times New Roman" w:cs="Times New Roman"/>
          <w:sz w:val="28"/>
          <w:szCs w:val="28"/>
          <w:lang w:eastAsia="ru-RU"/>
        </w:rPr>
        <w:t xml:space="preserve"> в текущем финансовом году остатки субсидий подлежат возврату в бюджет города Нефтеюганска в порядке и сроки, установленные департаментом финансов администрации города Нефтеюганска.</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Неиспользованные на 1-е января текущего финансового года остатки субсидий могут быть направлены учреждением на направления расходов, установленные при предоставлении субсидии, в текущем финансовом году в соответствии с решением департамента о наличии потребности, принятым путём утверждения в срок до 01 марта текущего финансового года сведений об операциях с субсидиями.</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Поступления от возвратов средств по выплатам, произведённым до начала текущего финансового года, источником финансового обеспечения которых являются субсидии, могут быть направлены учреждением на направления расходов, установленные при предоставлении субсидии, в текущем финансовом году в соответствии с решением департамента об использовании в текущем финансовом году поступлений от возврата ранее произведенных учреждением выплат, источником финансового обеспечения которых являются субсидии, принятым путём утверждения в течение срока, указанного в абзаце первом пункта 4.3 Порядка, сведений об операциях с субсидиями.</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4.2.Для рассмотрения вопроса о наличии потребности в направлении остатка субсидии на направления расходов, установленные при предоставлении субсидии, или об использовании в текущем финансовом году поступлений от возврата произведенных до начала текущего финансового года учреждением выплат, источником финансового обеспечения которых являются субсидии, учреждение представляет в департамент письменное обращение, содержащее информацию о наличии у учреждения неисполненных обязательств, источником финансового обеспечения которых являются не использованные на 01 января </w:t>
      </w:r>
      <w:r>
        <w:rPr>
          <w:rFonts w:ascii="Times New Roman" w:eastAsia="Times New Roman" w:hAnsi="Times New Roman" w:cs="Times New Roman"/>
          <w:sz w:val="28"/>
          <w:szCs w:val="28"/>
          <w:lang w:eastAsia="ru-RU"/>
        </w:rPr>
        <w:lastRenderedPageBreak/>
        <w:t>текущего финансового года остатки субсидии и (или) средства от возврата средств по выплатам, произведённым до начала текущего финансового года, и копии документов, подтверждающих наличие и объём указанных обязательств учреждения (за исключением обязательств по выплатам физическим лицам).</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Письменное обращение с указанием информации о наличии у учреждения неисполненных обязательств, источником финансового обеспечения которых являются не использованные на 01 января текущего финансового года остатки субсидии, подается учреждением не позднее 20 января текущего финансового года.</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4.3.В течение 10 рабочих дней со дня представления документов, указанных в пункте 4.2 Порядка, с учётом срока, установленного в абзаце втором пункта 4.1 Порядка, департамент принимает решение о наличии или об отсутствии у учреждения потребности в направлении не использованных на начало текущего финансового года остатков средств субсидии или в использовании в текущем финансовом году поступлений от возврата произведённых до начала текущего финансового года учреждением выплат, источником финансового обеспечения которых являются субсидии, для достижения целей, установленных при предоставлении субсидии.</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об отсутствии у учреждения потребности в направлении не использованных на начало текущего финансового года остатков средств субсидии или в использовании в текущем финансовом году поступлений от возврата произведённых до начала текущего финансового года учреждением выплат, источником финансового обеспечения которых являются субсидии, принимается в форме письма департамента с указанием оснований для принятия такого решения.</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Основаниями для принятия решения об отсутствии у учреждения потребности в направлении не использованных на начало текущего финансового года остатков средств субсидии или в использовании в текущем финансовом году поступлений от возврата произведённых до начала текущего финансового года учреждением выплат, источником финансового обеспечения которых являются субсидии, являются:</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-непредставление информации о наличии у учреждения неисполненных обязательств и (или) подтверждающих документов;</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-несоответствие данных, указанных в информации о наличии у учреждения неисполненных обязательств, документам, прилагаемым к обоснованию потребности;</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-несоответствие информации о наличии у учреждения неисполненных обязательств и (или) прилагаемых к нему документов направлениям расходов предоставления субсидии.</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трех рабочих дней со дня принятия решения, указанного в абзаце втором пункта 4.1 Порядка или абзаце втором настоящего пункта, департамент направляет учреждению утверждённые сведения об операциях с субсидиями, предоставленными учреждению, письмо департамента, указанное в абзаце втором настоящего пункта.</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4.Департамент</w:t>
      </w:r>
      <w:proofErr w:type="gramEnd"/>
      <w:r>
        <w:rPr>
          <w:rFonts w:ascii="Times New Roman" w:eastAsia="Times New Roman" w:hAnsi="Times New Roman" w:cs="Times New Roman"/>
          <w:sz w:val="28"/>
          <w:szCs w:val="28"/>
          <w:lang w:eastAsia="ru-RU"/>
        </w:rPr>
        <w:t xml:space="preserve"> и уполномоченные органы муниципального финансового </w:t>
      </w:r>
      <w:r>
        <w:rPr>
          <w:rFonts w:ascii="Times New Roman" w:eastAsia="Times New Roman" w:hAnsi="Times New Roman" w:cs="Times New Roman"/>
          <w:sz w:val="28"/>
          <w:szCs w:val="28"/>
          <w:lang w:eastAsia="ru-RU"/>
        </w:rPr>
        <w:lastRenderedPageBreak/>
        <w:t>контроля осуществляют обязательную проверку соблюдения целей и условий предоставления субсидии учреждению в соответствии с Бюджетным кодексом Российской Федерации, муниципальными правовыми актами.</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4.5.Департамент осуществляет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4.6.В случае установления факта несоблюдения учреждением целей и условий, </w:t>
      </w:r>
      <w:proofErr w:type="spellStart"/>
      <w:r>
        <w:rPr>
          <w:rFonts w:ascii="Times New Roman" w:eastAsia="Times New Roman" w:hAnsi="Times New Roman" w:cs="Times New Roman"/>
          <w:sz w:val="28"/>
          <w:szCs w:val="28"/>
          <w:lang w:eastAsia="ru-RU"/>
        </w:rPr>
        <w:t>недостижения</w:t>
      </w:r>
      <w:proofErr w:type="spellEnd"/>
      <w:r>
        <w:rPr>
          <w:rFonts w:ascii="Times New Roman" w:eastAsia="Times New Roman" w:hAnsi="Times New Roman" w:cs="Times New Roman"/>
          <w:sz w:val="28"/>
          <w:szCs w:val="28"/>
          <w:lang w:eastAsia="ru-RU"/>
        </w:rPr>
        <w:t xml:space="preserve"> значений результатов предоставления субсидии, установленных соглашением, выявленного по результатам обязательных проверок, проведённых уполномоченными органами муниципального финансового контроля, департамент направляет в учреждение письменное требование о её возврате в течение 10 (десяти) рабочих дней с момента получения предписания и (или) представления.</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4.7.В случае установления факта несоблюдения учреждением целей и условий, </w:t>
      </w:r>
      <w:proofErr w:type="spellStart"/>
      <w:r>
        <w:rPr>
          <w:rFonts w:ascii="Times New Roman" w:eastAsia="Times New Roman" w:hAnsi="Times New Roman" w:cs="Times New Roman"/>
          <w:sz w:val="28"/>
          <w:szCs w:val="28"/>
          <w:lang w:eastAsia="ru-RU"/>
        </w:rPr>
        <w:t>недостижения</w:t>
      </w:r>
      <w:proofErr w:type="spellEnd"/>
      <w:r>
        <w:rPr>
          <w:rFonts w:ascii="Times New Roman" w:eastAsia="Times New Roman" w:hAnsi="Times New Roman" w:cs="Times New Roman"/>
          <w:sz w:val="28"/>
          <w:szCs w:val="28"/>
          <w:lang w:eastAsia="ru-RU"/>
        </w:rPr>
        <w:t xml:space="preserve"> значений результатов предоставления субсидии, установленных соглашением, выявленного по результатам проверок, проведённых департаментом, департамент направляет в учреждение письменное требование о её возврате в течение 10 (десяти) рабочих дней с момента его установления.</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4.8.В случае нарушения целей и условий, установленных при предоставлении субсидии, полученные средства субсидии подлежат возврату в бюджет города Нефтеюганска в части их нецелевого использования.</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4.9.В случае </w:t>
      </w:r>
      <w:proofErr w:type="spellStart"/>
      <w:r>
        <w:rPr>
          <w:rFonts w:ascii="Times New Roman" w:eastAsia="Times New Roman" w:hAnsi="Times New Roman" w:cs="Times New Roman"/>
          <w:sz w:val="28"/>
          <w:szCs w:val="28"/>
          <w:lang w:eastAsia="ru-RU"/>
        </w:rPr>
        <w:t>недостижения</w:t>
      </w:r>
      <w:proofErr w:type="spellEnd"/>
      <w:r>
        <w:rPr>
          <w:rFonts w:ascii="Times New Roman" w:eastAsia="Times New Roman" w:hAnsi="Times New Roman" w:cs="Times New Roman"/>
          <w:sz w:val="28"/>
          <w:szCs w:val="28"/>
          <w:lang w:eastAsia="ru-RU"/>
        </w:rPr>
        <w:t xml:space="preserve"> значений результатов предоставления субсидии, полученные средства субсидии подлежат возврату в бюджет города Нефтеюганска в части, пропорциональной величине </w:t>
      </w:r>
      <w:proofErr w:type="spellStart"/>
      <w:r>
        <w:rPr>
          <w:rFonts w:ascii="Times New Roman" w:eastAsia="Times New Roman" w:hAnsi="Times New Roman" w:cs="Times New Roman"/>
          <w:sz w:val="28"/>
          <w:szCs w:val="28"/>
          <w:lang w:eastAsia="ru-RU"/>
        </w:rPr>
        <w:t>недостижения</w:t>
      </w:r>
      <w:proofErr w:type="spellEnd"/>
      <w:r>
        <w:rPr>
          <w:rFonts w:ascii="Times New Roman" w:eastAsia="Times New Roman" w:hAnsi="Times New Roman" w:cs="Times New Roman"/>
          <w:sz w:val="28"/>
          <w:szCs w:val="28"/>
          <w:lang w:eastAsia="ru-RU"/>
        </w:rPr>
        <w:t xml:space="preserve"> установленного результата предоставления субсидии.</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10.Денежные</w:t>
      </w:r>
      <w:proofErr w:type="gramEnd"/>
      <w:r>
        <w:rPr>
          <w:rFonts w:ascii="Times New Roman" w:eastAsia="Times New Roman" w:hAnsi="Times New Roman" w:cs="Times New Roman"/>
          <w:sz w:val="28"/>
          <w:szCs w:val="28"/>
          <w:lang w:eastAsia="ru-RU"/>
        </w:rPr>
        <w:t xml:space="preserve"> средства, подлежащие возврату, перечисляются учреждением на лицевой счёт департамента в течение 5 (пяти) банковских дней с момента получения требования о возврате денежных средств.</w:t>
      </w:r>
    </w:p>
    <w:p w:rsidR="00EC4029" w:rsidRDefault="00D23408">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4.11.В случае невыполнения в установленный срок требования о возврате субсидии департамент обеспечивает её взыскание в судебном порядке в соответствии с законодательством Российской Федерации.</w:t>
      </w:r>
    </w:p>
    <w:p w:rsidR="00EC4029" w:rsidRDefault="00D23408">
      <w:pPr>
        <w:widowControl w:val="0"/>
        <w:spacing w:after="0" w:line="240" w:lineRule="auto"/>
        <w:ind w:firstLine="72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4.</w:t>
      </w:r>
      <w:proofErr w:type="gramStart"/>
      <w:r>
        <w:rPr>
          <w:rFonts w:ascii="Times New Roman" w:eastAsia="Times New Roman" w:hAnsi="Times New Roman" w:cs="Times New Roman"/>
          <w:sz w:val="28"/>
          <w:szCs w:val="28"/>
          <w:lang w:eastAsia="ru-RU"/>
        </w:rPr>
        <w:t>12.Руководитель</w:t>
      </w:r>
      <w:proofErr w:type="gramEnd"/>
      <w:r>
        <w:rPr>
          <w:rFonts w:ascii="Times New Roman" w:eastAsia="Times New Roman" w:hAnsi="Times New Roman" w:cs="Times New Roman"/>
          <w:sz w:val="28"/>
          <w:szCs w:val="28"/>
          <w:lang w:eastAsia="ru-RU"/>
        </w:rPr>
        <w:t xml:space="preserve"> учреждения несёт ответственность за использование субсидии в соответствии с условиями, предусмотренными соглашением, разделом 2 настоящего Порядка и законодательством Российской Федерации.</w:t>
      </w:r>
    </w:p>
    <w:p w:rsidR="00EC4029" w:rsidRDefault="00EC4029">
      <w:pPr>
        <w:spacing w:after="0" w:line="240" w:lineRule="auto"/>
        <w:jc w:val="both"/>
        <w:rPr>
          <w:rFonts w:ascii="Times New Roman" w:hAnsi="Times New Roman" w:cs="Times New Roman"/>
          <w:sz w:val="28"/>
          <w:szCs w:val="28"/>
        </w:rPr>
      </w:pPr>
    </w:p>
    <w:p w:rsidR="00EC4029" w:rsidRDefault="00EC4029">
      <w:pPr>
        <w:widowControl w:val="0"/>
        <w:spacing w:after="0" w:line="256" w:lineRule="auto"/>
        <w:ind w:right="140"/>
        <w:rPr>
          <w:rFonts w:ascii="Times New Roman" w:eastAsia="Times New Roman" w:hAnsi="Times New Roman" w:cs="Times New Roman"/>
          <w:sz w:val="28"/>
          <w:szCs w:val="28"/>
          <w:lang w:eastAsia="ru-RU"/>
        </w:rPr>
      </w:pPr>
      <w:bookmarkStart w:id="0" w:name="_GoBack"/>
      <w:bookmarkEnd w:id="0"/>
    </w:p>
    <w:sectPr w:rsidR="00EC4029">
      <w:headerReference w:type="even" r:id="rId18"/>
      <w:headerReference w:type="default" r:id="rId19"/>
      <w:footerReference w:type="even" r:id="rId20"/>
      <w:footerReference w:type="default" r:id="rId21"/>
      <w:headerReference w:type="first" r:id="rId22"/>
      <w:footerReference w:type="first" r:id="rId23"/>
      <w:pgSz w:w="11906" w:h="16838"/>
      <w:pgMar w:top="1021" w:right="567" w:bottom="96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134" w:rsidRDefault="00546134">
      <w:pPr>
        <w:spacing w:after="0" w:line="240" w:lineRule="auto"/>
      </w:pPr>
      <w:r>
        <w:separator/>
      </w:r>
    </w:p>
  </w:endnote>
  <w:endnote w:type="continuationSeparator" w:id="0">
    <w:p w:rsidR="00546134" w:rsidRDefault="0054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29" w:rsidRDefault="00EC4029">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29" w:rsidRDefault="00EC4029">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29" w:rsidRDefault="00EC4029">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134" w:rsidRDefault="00546134">
      <w:pPr>
        <w:spacing w:after="0" w:line="240" w:lineRule="auto"/>
      </w:pPr>
      <w:r>
        <w:separator/>
      </w:r>
    </w:p>
  </w:footnote>
  <w:footnote w:type="continuationSeparator" w:id="0">
    <w:p w:rsidR="00546134" w:rsidRDefault="0054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29" w:rsidRDefault="00D23408">
    <w:pPr>
      <w:pStyle w:val="af5"/>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1</w:t>
    </w:r>
    <w:r>
      <w:rPr>
        <w:rStyle w:val="afd"/>
      </w:rPr>
      <w:fldChar w:fldCharType="end"/>
    </w:r>
  </w:p>
  <w:p w:rsidR="00EC4029" w:rsidRDefault="00EC4029">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29" w:rsidRDefault="00EC4029">
    <w:pPr>
      <w:pStyle w:val="af5"/>
    </w:pPr>
  </w:p>
  <w:p w:rsidR="00EC4029" w:rsidRDefault="00EC4029">
    <w:pPr>
      <w:pStyle w:val="af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29" w:rsidRDefault="00EC4029">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14C31"/>
    <w:multiLevelType w:val="hybridMultilevel"/>
    <w:tmpl w:val="7B944386"/>
    <w:lvl w:ilvl="0" w:tplc="D822279A">
      <w:start w:val="1"/>
      <w:numFmt w:val="decimal"/>
      <w:lvlText w:val="%1)"/>
      <w:lvlJc w:val="left"/>
      <w:pPr>
        <w:ind w:left="720" w:hanging="360"/>
      </w:pPr>
      <w:rPr>
        <w:rFonts w:hint="default"/>
      </w:rPr>
    </w:lvl>
    <w:lvl w:ilvl="1" w:tplc="82B49D9C">
      <w:start w:val="1"/>
      <w:numFmt w:val="lowerLetter"/>
      <w:lvlText w:val="%2."/>
      <w:lvlJc w:val="left"/>
      <w:pPr>
        <w:ind w:left="1440" w:hanging="360"/>
      </w:pPr>
    </w:lvl>
    <w:lvl w:ilvl="2" w:tplc="0B38CF9A">
      <w:start w:val="1"/>
      <w:numFmt w:val="lowerRoman"/>
      <w:lvlText w:val="%3."/>
      <w:lvlJc w:val="right"/>
      <w:pPr>
        <w:ind w:left="2160" w:hanging="180"/>
      </w:pPr>
    </w:lvl>
    <w:lvl w:ilvl="3" w:tplc="F27C3B20">
      <w:start w:val="1"/>
      <w:numFmt w:val="decimal"/>
      <w:lvlText w:val="%4."/>
      <w:lvlJc w:val="left"/>
      <w:pPr>
        <w:ind w:left="2880" w:hanging="360"/>
      </w:pPr>
    </w:lvl>
    <w:lvl w:ilvl="4" w:tplc="B8A2A3C0">
      <w:start w:val="1"/>
      <w:numFmt w:val="lowerLetter"/>
      <w:lvlText w:val="%5."/>
      <w:lvlJc w:val="left"/>
      <w:pPr>
        <w:ind w:left="3600" w:hanging="360"/>
      </w:pPr>
    </w:lvl>
    <w:lvl w:ilvl="5" w:tplc="6EA4E658">
      <w:start w:val="1"/>
      <w:numFmt w:val="lowerRoman"/>
      <w:lvlText w:val="%6."/>
      <w:lvlJc w:val="right"/>
      <w:pPr>
        <w:ind w:left="4320" w:hanging="180"/>
      </w:pPr>
    </w:lvl>
    <w:lvl w:ilvl="6" w:tplc="6360B8E0">
      <w:start w:val="1"/>
      <w:numFmt w:val="decimal"/>
      <w:lvlText w:val="%7."/>
      <w:lvlJc w:val="left"/>
      <w:pPr>
        <w:ind w:left="5040" w:hanging="360"/>
      </w:pPr>
    </w:lvl>
    <w:lvl w:ilvl="7" w:tplc="E76A6FB4">
      <w:start w:val="1"/>
      <w:numFmt w:val="lowerLetter"/>
      <w:lvlText w:val="%8."/>
      <w:lvlJc w:val="left"/>
      <w:pPr>
        <w:ind w:left="5760" w:hanging="360"/>
      </w:pPr>
    </w:lvl>
    <w:lvl w:ilvl="8" w:tplc="C3088FCC">
      <w:start w:val="1"/>
      <w:numFmt w:val="lowerRoman"/>
      <w:lvlText w:val="%9."/>
      <w:lvlJc w:val="right"/>
      <w:pPr>
        <w:ind w:left="6480" w:hanging="180"/>
      </w:pPr>
    </w:lvl>
  </w:abstractNum>
  <w:abstractNum w:abstractNumId="1" w15:restartNumberingAfterBreak="0">
    <w:nsid w:val="7443778B"/>
    <w:multiLevelType w:val="hybridMultilevel"/>
    <w:tmpl w:val="A4A4AF48"/>
    <w:lvl w:ilvl="0" w:tplc="C86E9EC4">
      <w:start w:val="1"/>
      <w:numFmt w:val="decimal"/>
      <w:lvlText w:val="1.%1."/>
      <w:lvlJc w:val="left"/>
      <w:pPr>
        <w:ind w:left="502" w:hanging="360"/>
      </w:pPr>
      <w:rPr>
        <w:rFonts w:hint="default"/>
      </w:rPr>
    </w:lvl>
    <w:lvl w:ilvl="1" w:tplc="4D40F5A6">
      <w:start w:val="1"/>
      <w:numFmt w:val="lowerLetter"/>
      <w:lvlText w:val="%2."/>
      <w:lvlJc w:val="left"/>
      <w:pPr>
        <w:ind w:left="1440" w:hanging="360"/>
      </w:pPr>
    </w:lvl>
    <w:lvl w:ilvl="2" w:tplc="87541E26">
      <w:start w:val="1"/>
      <w:numFmt w:val="lowerRoman"/>
      <w:lvlText w:val="%3."/>
      <w:lvlJc w:val="right"/>
      <w:pPr>
        <w:ind w:left="2160" w:hanging="180"/>
      </w:pPr>
    </w:lvl>
    <w:lvl w:ilvl="3" w:tplc="1DE8D232">
      <w:start w:val="1"/>
      <w:numFmt w:val="decimal"/>
      <w:lvlText w:val="%4."/>
      <w:lvlJc w:val="left"/>
      <w:pPr>
        <w:ind w:left="2880" w:hanging="360"/>
      </w:pPr>
    </w:lvl>
    <w:lvl w:ilvl="4" w:tplc="86445EA8">
      <w:start w:val="1"/>
      <w:numFmt w:val="lowerLetter"/>
      <w:lvlText w:val="%5."/>
      <w:lvlJc w:val="left"/>
      <w:pPr>
        <w:ind w:left="3600" w:hanging="360"/>
      </w:pPr>
    </w:lvl>
    <w:lvl w:ilvl="5" w:tplc="BED479A6">
      <w:start w:val="1"/>
      <w:numFmt w:val="lowerRoman"/>
      <w:lvlText w:val="%6."/>
      <w:lvlJc w:val="right"/>
      <w:pPr>
        <w:ind w:left="4320" w:hanging="180"/>
      </w:pPr>
    </w:lvl>
    <w:lvl w:ilvl="6" w:tplc="45C277D6">
      <w:start w:val="1"/>
      <w:numFmt w:val="decimal"/>
      <w:lvlText w:val="%7."/>
      <w:lvlJc w:val="left"/>
      <w:pPr>
        <w:ind w:left="5040" w:hanging="360"/>
      </w:pPr>
    </w:lvl>
    <w:lvl w:ilvl="7" w:tplc="C3E81414">
      <w:start w:val="1"/>
      <w:numFmt w:val="lowerLetter"/>
      <w:lvlText w:val="%8."/>
      <w:lvlJc w:val="left"/>
      <w:pPr>
        <w:ind w:left="5760" w:hanging="360"/>
      </w:pPr>
    </w:lvl>
    <w:lvl w:ilvl="8" w:tplc="84C278C4">
      <w:start w:val="1"/>
      <w:numFmt w:val="lowerRoman"/>
      <w:lvlText w:val="%9."/>
      <w:lvlJc w:val="right"/>
      <w:pPr>
        <w:ind w:left="6480" w:hanging="180"/>
      </w:pPr>
    </w:lvl>
  </w:abstractNum>
  <w:abstractNum w:abstractNumId="2" w15:restartNumberingAfterBreak="0">
    <w:nsid w:val="756877E7"/>
    <w:multiLevelType w:val="hybridMultilevel"/>
    <w:tmpl w:val="326A752A"/>
    <w:lvl w:ilvl="0" w:tplc="53DEE3FE">
      <w:start w:val="1"/>
      <w:numFmt w:val="decimal"/>
      <w:lvlText w:val="%1."/>
      <w:lvlJc w:val="left"/>
      <w:pPr>
        <w:ind w:left="720" w:hanging="360"/>
      </w:pPr>
    </w:lvl>
    <w:lvl w:ilvl="1" w:tplc="2BBA0E22">
      <w:start w:val="1"/>
      <w:numFmt w:val="lowerLetter"/>
      <w:lvlText w:val="%2."/>
      <w:lvlJc w:val="left"/>
      <w:pPr>
        <w:ind w:left="1440" w:hanging="360"/>
      </w:pPr>
    </w:lvl>
    <w:lvl w:ilvl="2" w:tplc="7AD01298">
      <w:start w:val="1"/>
      <w:numFmt w:val="lowerRoman"/>
      <w:lvlText w:val="%3."/>
      <w:lvlJc w:val="right"/>
      <w:pPr>
        <w:ind w:left="2160" w:hanging="180"/>
      </w:pPr>
    </w:lvl>
    <w:lvl w:ilvl="3" w:tplc="C4FA267C">
      <w:start w:val="1"/>
      <w:numFmt w:val="decimal"/>
      <w:lvlText w:val="%4."/>
      <w:lvlJc w:val="left"/>
      <w:pPr>
        <w:ind w:left="2880" w:hanging="360"/>
      </w:pPr>
    </w:lvl>
    <w:lvl w:ilvl="4" w:tplc="B56090DE">
      <w:start w:val="1"/>
      <w:numFmt w:val="lowerLetter"/>
      <w:lvlText w:val="%5."/>
      <w:lvlJc w:val="left"/>
      <w:pPr>
        <w:ind w:left="3600" w:hanging="360"/>
      </w:pPr>
    </w:lvl>
    <w:lvl w:ilvl="5" w:tplc="161472AC">
      <w:start w:val="1"/>
      <w:numFmt w:val="lowerRoman"/>
      <w:lvlText w:val="%6."/>
      <w:lvlJc w:val="right"/>
      <w:pPr>
        <w:ind w:left="4320" w:hanging="180"/>
      </w:pPr>
    </w:lvl>
    <w:lvl w:ilvl="6" w:tplc="8E3C3B80">
      <w:start w:val="1"/>
      <w:numFmt w:val="decimal"/>
      <w:lvlText w:val="%7."/>
      <w:lvlJc w:val="left"/>
      <w:pPr>
        <w:ind w:left="5040" w:hanging="360"/>
      </w:pPr>
    </w:lvl>
    <w:lvl w:ilvl="7" w:tplc="0D9A4508">
      <w:start w:val="1"/>
      <w:numFmt w:val="lowerLetter"/>
      <w:lvlText w:val="%8."/>
      <w:lvlJc w:val="left"/>
      <w:pPr>
        <w:ind w:left="5760" w:hanging="360"/>
      </w:pPr>
    </w:lvl>
    <w:lvl w:ilvl="8" w:tplc="D7268A02">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29"/>
    <w:rsid w:val="0054154E"/>
    <w:rsid w:val="00546134"/>
    <w:rsid w:val="00D23408"/>
    <w:rsid w:val="00EC40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E0BE"/>
  <w15:docId w15:val="{CC339E34-8ABE-42C8-A4D0-C45BB4FB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hAnsi="Segoe UI" w:cs="Segoe UI"/>
      <w:sz w:val="18"/>
      <w:szCs w:val="18"/>
    </w:rPr>
  </w:style>
  <w:style w:type="paragraph" w:styleId="afb">
    <w:name w:val="No Spacing"/>
    <w:uiPriority w:val="1"/>
    <w:qFormat/>
    <w:pPr>
      <w:spacing w:after="0" w:line="240" w:lineRule="auto"/>
    </w:pPr>
    <w:rPr>
      <w:rFonts w:ascii="Pragmatica" w:eastAsia="Times New Roman" w:hAnsi="Pragmatica" w:cs="Times New Roman"/>
      <w:b/>
      <w:sz w:val="20"/>
      <w:szCs w:val="20"/>
      <w:lang w:eastAsia="ru-RU"/>
    </w:rPr>
  </w:style>
  <w:style w:type="paragraph" w:styleId="afc">
    <w:name w:val="List Paragraph"/>
    <w:basedOn w:val="a"/>
    <w:uiPriority w:val="34"/>
    <w:qFormat/>
    <w:pPr>
      <w:ind w:left="720"/>
      <w:contextualSpacing/>
    </w:p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styleId="af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3.xml"/><Relationship Id="rId19" Type="http://schemas.openxmlformats.org/officeDocument/2006/relationships/header" Target="header2.xml"/><Relationship Id="rId4" Type="http://schemas.openxmlformats.org/officeDocument/2006/relationships/settings" Target="settings.xm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E9443-BFD5-4075-8647-875BF017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2615</Words>
  <Characters>14906</Characters>
  <Application>Microsoft Office Word</Application>
  <DocSecurity>0</DocSecurity>
  <Lines>124</Lines>
  <Paragraphs>34</Paragraphs>
  <ScaleCrop>false</ScaleCrop>
  <Company>SPecialiST RePack</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Mash_buro</dc:creator>
  <cp:lastModifiedBy>Татьяна Андреевна Науменко</cp:lastModifiedBy>
  <cp:revision>16</cp:revision>
  <dcterms:created xsi:type="dcterms:W3CDTF">2025-09-19T06:13:00Z</dcterms:created>
  <dcterms:modified xsi:type="dcterms:W3CDTF">2025-10-16T07:02:00Z</dcterms:modified>
</cp:coreProperties>
</file>