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44D73" w:rsidRDefault="00CA7EA1">
      <w:pPr>
        <w:spacing w:after="0" w:line="240" w:lineRule="auto"/>
        <w:ind w:firstLine="540"/>
        <w:jc w:val="center"/>
        <w:rPr>
          <w:rFonts w:ascii="Times New Roman" w:hAnsi="Times New Roman"/>
          <w:i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586740" cy="685800"/>
            <wp:effectExtent l="0" t="0" r="3810" b="0"/>
            <wp:wrapTight wrapText="bothSides">
              <wp:wrapPolygon edited="1">
                <wp:start x="0" y="0"/>
                <wp:lineTo x="0" y="21000"/>
                <wp:lineTo x="21039" y="21000"/>
                <wp:lineTo x="21039" y="0"/>
                <wp:lineTo x="0" y="0"/>
              </wp:wrapPolygon>
            </wp:wrapTight>
            <wp:docPr id="1" name="Рисунок 3" descr="Герб%20Нефтеюганск%20small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Герб%20Нефтеюганск%20small1"/>
                    <pic:cNvPicPr>
                      <a:picLocks noChangeAspect="1"/>
                    </pic:cNvPicPr>
                  </pic:nvPicPr>
                  <pic:blipFill>
                    <a:blip r:embed="rId7"/>
                    <a:stretch/>
                  </pic:blipFill>
                  <pic:spPr bwMode="auto">
                    <a:xfrm>
                      <a:off x="0" y="0"/>
                      <a:ext cx="58674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i/>
          <w:sz w:val="28"/>
          <w:szCs w:val="28"/>
        </w:rPr>
        <w:tab/>
        <w:t xml:space="preserve">     </w:t>
      </w:r>
    </w:p>
    <w:p w:rsidR="00144D73" w:rsidRDefault="00144D73">
      <w:pPr>
        <w:spacing w:after="0" w:line="240" w:lineRule="auto"/>
        <w:ind w:firstLine="540"/>
        <w:jc w:val="center"/>
        <w:rPr>
          <w:rFonts w:ascii="Times New Roman" w:hAnsi="Times New Roman"/>
          <w:i/>
          <w:sz w:val="28"/>
          <w:szCs w:val="28"/>
        </w:rPr>
      </w:pPr>
    </w:p>
    <w:p w:rsidR="00144D73" w:rsidRDefault="00144D73">
      <w:pPr>
        <w:spacing w:after="0" w:line="240" w:lineRule="auto"/>
        <w:ind w:firstLine="540"/>
        <w:jc w:val="both"/>
        <w:rPr>
          <w:rFonts w:ascii="Times New Roman" w:hAnsi="Times New Roman"/>
          <w:i/>
          <w:sz w:val="28"/>
          <w:szCs w:val="28"/>
        </w:rPr>
      </w:pPr>
    </w:p>
    <w:p w:rsidR="00144D73" w:rsidRDefault="00144D73">
      <w:pPr>
        <w:spacing w:after="0" w:line="240" w:lineRule="auto"/>
        <w:ind w:firstLine="540"/>
        <w:jc w:val="both"/>
        <w:rPr>
          <w:rFonts w:ascii="Times New Roman" w:hAnsi="Times New Roman"/>
          <w:i/>
          <w:sz w:val="28"/>
          <w:szCs w:val="28"/>
        </w:rPr>
      </w:pPr>
    </w:p>
    <w:p w:rsidR="00144D73" w:rsidRDefault="00CA7EA1">
      <w:pPr>
        <w:pStyle w:val="ConsPlusNonformat"/>
        <w:widowControl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АДМИНИСТРАЦИЯ ГОРОДА НЕФТЕЮГАНСКА                              </w:t>
      </w:r>
    </w:p>
    <w:p w:rsidR="00144D73" w:rsidRDefault="00144D73">
      <w:pPr>
        <w:pStyle w:val="ConsPlusNonformat"/>
        <w:widowControl/>
        <w:jc w:val="center"/>
        <w:rPr>
          <w:rFonts w:ascii="Times New Roman" w:hAnsi="Times New Roman" w:cs="Times New Roman"/>
          <w:b/>
          <w:sz w:val="8"/>
          <w:szCs w:val="8"/>
        </w:rPr>
      </w:pPr>
    </w:p>
    <w:p w:rsidR="00144D73" w:rsidRDefault="00CA7EA1">
      <w:pPr>
        <w:pStyle w:val="ConsPlusNonformat"/>
        <w:widowControl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ПОСТАНОВЛЕНИЕ</w:t>
      </w:r>
    </w:p>
    <w:p w:rsidR="00CA7EA1" w:rsidRDefault="00CA7EA1">
      <w:pPr>
        <w:pStyle w:val="ConsPlusNonformat"/>
        <w:widowControl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A7EA1" w:rsidRPr="00CA7EA1" w:rsidRDefault="00CA7EA1" w:rsidP="00CA7EA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A7EA1">
        <w:rPr>
          <w:rFonts w:ascii="Times New Roman" w:hAnsi="Times New Roman"/>
          <w:sz w:val="28"/>
          <w:szCs w:val="28"/>
        </w:rPr>
        <w:t>27.10.2025</w:t>
      </w:r>
      <w:r w:rsidRPr="00CA7EA1">
        <w:rPr>
          <w:rFonts w:ascii="Times New Roman" w:hAnsi="Times New Roman"/>
          <w:sz w:val="28"/>
          <w:szCs w:val="28"/>
        </w:rPr>
        <w:tab/>
      </w:r>
      <w:r w:rsidRPr="00CA7EA1">
        <w:rPr>
          <w:rFonts w:ascii="Times New Roman" w:hAnsi="Times New Roman"/>
          <w:sz w:val="28"/>
          <w:szCs w:val="28"/>
        </w:rPr>
        <w:tab/>
      </w:r>
      <w:r w:rsidRPr="00CA7EA1">
        <w:rPr>
          <w:rFonts w:ascii="Times New Roman" w:hAnsi="Times New Roman"/>
          <w:sz w:val="28"/>
          <w:szCs w:val="28"/>
        </w:rPr>
        <w:tab/>
      </w:r>
      <w:r w:rsidRPr="00CA7EA1">
        <w:rPr>
          <w:rFonts w:ascii="Times New Roman" w:hAnsi="Times New Roman"/>
          <w:sz w:val="28"/>
          <w:szCs w:val="28"/>
        </w:rPr>
        <w:tab/>
      </w:r>
      <w:r w:rsidRPr="00CA7EA1">
        <w:rPr>
          <w:rFonts w:ascii="Times New Roman" w:hAnsi="Times New Roman"/>
          <w:sz w:val="28"/>
          <w:szCs w:val="28"/>
        </w:rPr>
        <w:tab/>
      </w:r>
      <w:r w:rsidRPr="00CA7EA1">
        <w:rPr>
          <w:rFonts w:ascii="Times New Roman" w:hAnsi="Times New Roman"/>
          <w:sz w:val="28"/>
          <w:szCs w:val="28"/>
        </w:rPr>
        <w:tab/>
      </w:r>
      <w:r w:rsidRPr="00CA7EA1">
        <w:rPr>
          <w:rFonts w:ascii="Times New Roman" w:hAnsi="Times New Roman"/>
          <w:sz w:val="28"/>
          <w:szCs w:val="28"/>
        </w:rPr>
        <w:tab/>
      </w:r>
      <w:r w:rsidRPr="00CA7EA1">
        <w:rPr>
          <w:rFonts w:ascii="Times New Roman" w:hAnsi="Times New Roman"/>
          <w:sz w:val="28"/>
          <w:szCs w:val="28"/>
        </w:rPr>
        <w:tab/>
      </w:r>
      <w:r w:rsidRPr="00CA7EA1">
        <w:rPr>
          <w:rFonts w:ascii="Times New Roman" w:hAnsi="Times New Roman"/>
          <w:sz w:val="28"/>
          <w:szCs w:val="28"/>
        </w:rPr>
        <w:tab/>
      </w:r>
      <w:r w:rsidRPr="00CA7EA1">
        <w:rPr>
          <w:rFonts w:ascii="Times New Roman" w:hAnsi="Times New Roman"/>
          <w:sz w:val="28"/>
          <w:szCs w:val="28"/>
        </w:rPr>
        <w:tab/>
        <w:t xml:space="preserve">         </w:t>
      </w:r>
      <w:r>
        <w:rPr>
          <w:rFonts w:ascii="Times New Roman" w:hAnsi="Times New Roman"/>
          <w:sz w:val="28"/>
          <w:szCs w:val="28"/>
        </w:rPr>
        <w:t>№ 1113</w:t>
      </w:r>
      <w:r w:rsidRPr="00CA7EA1">
        <w:rPr>
          <w:rFonts w:ascii="Times New Roman" w:hAnsi="Times New Roman"/>
          <w:sz w:val="28"/>
          <w:szCs w:val="28"/>
        </w:rPr>
        <w:t>-п</w:t>
      </w:r>
    </w:p>
    <w:p w:rsidR="00144D73" w:rsidRDefault="00CA7EA1" w:rsidP="00CA7EA1">
      <w:pPr>
        <w:pStyle w:val="ConsPlusNonformat"/>
        <w:widowControl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г.Нефтеюганск</w:t>
      </w:r>
    </w:p>
    <w:p w:rsidR="00144D73" w:rsidRDefault="00144D73">
      <w:pPr>
        <w:pStyle w:val="ConsPlusNonformat"/>
        <w:widowControl/>
        <w:rPr>
          <w:rFonts w:ascii="Times New Roman" w:hAnsi="Times New Roman" w:cs="Times New Roman"/>
          <w:i/>
          <w:sz w:val="28"/>
          <w:szCs w:val="28"/>
        </w:rPr>
      </w:pPr>
    </w:p>
    <w:p w:rsidR="00144D73" w:rsidRDefault="00CA7EA1" w:rsidP="00CA7EA1">
      <w:pPr>
        <w:widowControl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 xml:space="preserve">Об утверждении </w:t>
      </w:r>
      <w:r>
        <w:rPr>
          <w:rFonts w:ascii="Times New Roman" w:hAnsi="Times New Roman" w:hint="eastAsia"/>
          <w:b/>
          <w:sz w:val="28"/>
          <w:szCs w:val="28"/>
          <w:lang w:eastAsia="ru-RU"/>
        </w:rPr>
        <w:t>Реестра мест для размещения сезонных нестационарных торговых объектов и иных сезонных объектов по оказанию услуг</w:t>
      </w:r>
      <w:r>
        <w:rPr>
          <w:rFonts w:ascii="Times New Roman" w:hAnsi="Times New Roman"/>
          <w:b/>
          <w:sz w:val="28"/>
          <w:szCs w:val="28"/>
          <w:lang w:eastAsia="ru-RU"/>
        </w:rPr>
        <w:t xml:space="preserve"> населению на территории города Нефтеюганска на зимний период 2025-2026 годов</w:t>
      </w:r>
    </w:p>
    <w:p w:rsidR="00144D73" w:rsidRDefault="00144D73">
      <w:pPr>
        <w:pStyle w:val="210"/>
        <w:jc w:val="center"/>
        <w:rPr>
          <w:b/>
        </w:rPr>
      </w:pPr>
    </w:p>
    <w:p w:rsidR="00144D73" w:rsidRDefault="00CA7EA1">
      <w:pPr>
        <w:pStyle w:val="210"/>
        <w:jc w:val="both"/>
        <w:rPr>
          <w:szCs w:val="28"/>
        </w:rPr>
      </w:pPr>
      <w:r>
        <w:rPr>
          <w:rFonts w:ascii="Times New Roman CYR" w:hAnsi="Times New Roman CYR"/>
        </w:rPr>
        <w:t xml:space="preserve">    </w:t>
      </w:r>
      <w:r>
        <w:tab/>
      </w:r>
      <w:r>
        <w:rPr>
          <w:szCs w:val="28"/>
        </w:rPr>
        <w:t>В соответствии с Федеральными законами от 20.03.2025 № 33-ФЗ                           «Об общих принципах организации местного самоуправления в единой системе публичной власти», от 28.12.2009 № 381-ФЗ «Об основах государственного регулирования торговой деятельности в Российской Федерации», Уставом города Нефтеюганска,  постановлением администрации города Нефтеюганска от 13.11.2024 № 106-нп «Об утверждении положения об организации обеспечения жителей города Нефтеюганска услугами общественного питания и торговли при проведении праздничных, общественно-политических, культурно-массовых, спортивно-массовых и иных мероприятий, имеющих краткосрочный характер и правил размещения сезонных нестационарных торговых объектов, сезонных объектов общественного питания, иных сезонных объектов по оказанию услуг населению на территории города Нефтеюганска», в целях упорядочения размещения сезонных нестационарных объектов, сезонных объектов общественного питания, иных сезонных объектов по оказанию услуг населению, создания условий для улучшения организации торгового обслуживания населения администрация города Нефтеюганска постановляет:</w:t>
      </w:r>
    </w:p>
    <w:p w:rsidR="00144D73" w:rsidRDefault="00CA7EA1">
      <w:pPr>
        <w:pStyle w:val="210"/>
        <w:jc w:val="both"/>
        <w:rPr>
          <w:szCs w:val="28"/>
        </w:rPr>
      </w:pPr>
      <w:r>
        <w:rPr>
          <w:szCs w:val="28"/>
        </w:rPr>
        <w:tab/>
        <w:t xml:space="preserve">1.Утвердить Реестр </w:t>
      </w:r>
      <w:r>
        <w:rPr>
          <w:rFonts w:hint="eastAsia"/>
          <w:szCs w:val="28"/>
        </w:rPr>
        <w:t>мест</w:t>
      </w:r>
      <w:r>
        <w:rPr>
          <w:szCs w:val="28"/>
        </w:rPr>
        <w:t xml:space="preserve"> </w:t>
      </w:r>
      <w:r>
        <w:rPr>
          <w:rFonts w:hint="eastAsia"/>
          <w:szCs w:val="28"/>
        </w:rPr>
        <w:t>для</w:t>
      </w:r>
      <w:r>
        <w:rPr>
          <w:szCs w:val="28"/>
        </w:rPr>
        <w:t xml:space="preserve"> </w:t>
      </w:r>
      <w:r>
        <w:rPr>
          <w:rFonts w:hint="eastAsia"/>
          <w:szCs w:val="28"/>
        </w:rPr>
        <w:t>размещения</w:t>
      </w:r>
      <w:r>
        <w:rPr>
          <w:szCs w:val="28"/>
        </w:rPr>
        <w:t xml:space="preserve"> </w:t>
      </w:r>
      <w:r>
        <w:rPr>
          <w:rFonts w:hint="eastAsia"/>
          <w:szCs w:val="28"/>
        </w:rPr>
        <w:t>сезонных</w:t>
      </w:r>
      <w:r>
        <w:rPr>
          <w:szCs w:val="28"/>
        </w:rPr>
        <w:t xml:space="preserve"> </w:t>
      </w:r>
      <w:r>
        <w:rPr>
          <w:rFonts w:hint="eastAsia"/>
          <w:szCs w:val="28"/>
        </w:rPr>
        <w:t>нестационарных</w:t>
      </w:r>
      <w:r>
        <w:rPr>
          <w:szCs w:val="28"/>
        </w:rPr>
        <w:t xml:space="preserve"> </w:t>
      </w:r>
      <w:r>
        <w:rPr>
          <w:rFonts w:hint="eastAsia"/>
          <w:szCs w:val="28"/>
        </w:rPr>
        <w:t>торговых</w:t>
      </w:r>
      <w:r>
        <w:rPr>
          <w:szCs w:val="28"/>
        </w:rPr>
        <w:t xml:space="preserve"> </w:t>
      </w:r>
      <w:r>
        <w:rPr>
          <w:rFonts w:hint="eastAsia"/>
          <w:szCs w:val="28"/>
        </w:rPr>
        <w:t>объектов</w:t>
      </w:r>
      <w:r>
        <w:rPr>
          <w:szCs w:val="28"/>
        </w:rPr>
        <w:t xml:space="preserve"> </w:t>
      </w:r>
      <w:r>
        <w:rPr>
          <w:rFonts w:hint="eastAsia"/>
          <w:szCs w:val="28"/>
        </w:rPr>
        <w:t>и</w:t>
      </w:r>
      <w:r>
        <w:rPr>
          <w:szCs w:val="28"/>
        </w:rPr>
        <w:t xml:space="preserve"> </w:t>
      </w:r>
      <w:r>
        <w:rPr>
          <w:rFonts w:hint="eastAsia"/>
          <w:szCs w:val="28"/>
        </w:rPr>
        <w:t>иных</w:t>
      </w:r>
      <w:r>
        <w:rPr>
          <w:szCs w:val="28"/>
        </w:rPr>
        <w:t xml:space="preserve"> </w:t>
      </w:r>
      <w:r>
        <w:rPr>
          <w:rFonts w:hint="eastAsia"/>
          <w:szCs w:val="28"/>
        </w:rPr>
        <w:t>сезонных</w:t>
      </w:r>
      <w:r>
        <w:rPr>
          <w:szCs w:val="28"/>
        </w:rPr>
        <w:t xml:space="preserve"> </w:t>
      </w:r>
      <w:r>
        <w:rPr>
          <w:rFonts w:hint="eastAsia"/>
          <w:szCs w:val="28"/>
        </w:rPr>
        <w:t>объектов</w:t>
      </w:r>
      <w:r>
        <w:rPr>
          <w:szCs w:val="28"/>
        </w:rPr>
        <w:t xml:space="preserve"> </w:t>
      </w:r>
      <w:r>
        <w:rPr>
          <w:rFonts w:hint="eastAsia"/>
          <w:szCs w:val="28"/>
        </w:rPr>
        <w:t>по</w:t>
      </w:r>
      <w:r>
        <w:rPr>
          <w:szCs w:val="28"/>
        </w:rPr>
        <w:t xml:space="preserve"> </w:t>
      </w:r>
      <w:r>
        <w:rPr>
          <w:rFonts w:hint="eastAsia"/>
          <w:szCs w:val="28"/>
        </w:rPr>
        <w:t>оказанию</w:t>
      </w:r>
      <w:r>
        <w:rPr>
          <w:szCs w:val="28"/>
        </w:rPr>
        <w:t xml:space="preserve"> </w:t>
      </w:r>
      <w:r>
        <w:rPr>
          <w:rFonts w:hint="eastAsia"/>
          <w:szCs w:val="28"/>
        </w:rPr>
        <w:t>услуг</w:t>
      </w:r>
      <w:r>
        <w:rPr>
          <w:szCs w:val="28"/>
        </w:rPr>
        <w:t xml:space="preserve"> </w:t>
      </w:r>
      <w:r>
        <w:rPr>
          <w:rFonts w:hint="eastAsia"/>
          <w:szCs w:val="28"/>
        </w:rPr>
        <w:t>населению</w:t>
      </w:r>
      <w:r>
        <w:rPr>
          <w:szCs w:val="28"/>
        </w:rPr>
        <w:t xml:space="preserve"> </w:t>
      </w:r>
      <w:r>
        <w:rPr>
          <w:rFonts w:hint="eastAsia"/>
          <w:szCs w:val="28"/>
        </w:rPr>
        <w:t>на</w:t>
      </w:r>
      <w:r>
        <w:rPr>
          <w:szCs w:val="28"/>
        </w:rPr>
        <w:t xml:space="preserve"> </w:t>
      </w:r>
      <w:r>
        <w:rPr>
          <w:rFonts w:hint="eastAsia"/>
          <w:szCs w:val="28"/>
        </w:rPr>
        <w:t>территории</w:t>
      </w:r>
      <w:r>
        <w:rPr>
          <w:szCs w:val="28"/>
        </w:rPr>
        <w:t xml:space="preserve"> </w:t>
      </w:r>
      <w:r>
        <w:rPr>
          <w:rFonts w:hint="eastAsia"/>
          <w:szCs w:val="28"/>
        </w:rPr>
        <w:t>города</w:t>
      </w:r>
      <w:r>
        <w:rPr>
          <w:szCs w:val="28"/>
        </w:rPr>
        <w:t xml:space="preserve"> </w:t>
      </w:r>
      <w:r>
        <w:rPr>
          <w:rFonts w:hint="eastAsia"/>
          <w:szCs w:val="28"/>
        </w:rPr>
        <w:t>Нефтеюганска</w:t>
      </w:r>
      <w:r>
        <w:rPr>
          <w:szCs w:val="28"/>
        </w:rPr>
        <w:t xml:space="preserve"> </w:t>
      </w:r>
      <w:r>
        <w:rPr>
          <w:rFonts w:hint="eastAsia"/>
          <w:szCs w:val="28"/>
        </w:rPr>
        <w:t>на</w:t>
      </w:r>
      <w:r>
        <w:rPr>
          <w:szCs w:val="28"/>
        </w:rPr>
        <w:t xml:space="preserve"> зимний </w:t>
      </w:r>
      <w:r>
        <w:rPr>
          <w:rFonts w:hint="eastAsia"/>
          <w:szCs w:val="28"/>
        </w:rPr>
        <w:t>период</w:t>
      </w:r>
      <w:r>
        <w:rPr>
          <w:szCs w:val="28"/>
        </w:rPr>
        <w:t xml:space="preserve"> 2025-2026 </w:t>
      </w:r>
      <w:r>
        <w:rPr>
          <w:rFonts w:hint="eastAsia"/>
          <w:szCs w:val="28"/>
        </w:rPr>
        <w:t>годов</w:t>
      </w:r>
      <w:r>
        <w:rPr>
          <w:szCs w:val="28"/>
        </w:rPr>
        <w:t xml:space="preserve"> </w:t>
      </w:r>
      <w:r>
        <w:rPr>
          <w:rFonts w:hint="eastAsia"/>
          <w:szCs w:val="28"/>
        </w:rPr>
        <w:t>согласно</w:t>
      </w:r>
      <w:r>
        <w:rPr>
          <w:szCs w:val="28"/>
        </w:rPr>
        <w:t xml:space="preserve"> </w:t>
      </w:r>
      <w:r>
        <w:rPr>
          <w:rFonts w:hint="eastAsia"/>
          <w:szCs w:val="28"/>
        </w:rPr>
        <w:t>приложению</w:t>
      </w:r>
      <w:r>
        <w:rPr>
          <w:szCs w:val="28"/>
        </w:rPr>
        <w:t xml:space="preserve"> </w:t>
      </w:r>
      <w:r>
        <w:rPr>
          <w:rFonts w:hint="eastAsia"/>
          <w:szCs w:val="28"/>
        </w:rPr>
        <w:t>к настоящему</w:t>
      </w:r>
      <w:r>
        <w:rPr>
          <w:szCs w:val="28"/>
        </w:rPr>
        <w:t xml:space="preserve"> </w:t>
      </w:r>
      <w:r>
        <w:rPr>
          <w:rFonts w:hint="eastAsia"/>
          <w:szCs w:val="28"/>
        </w:rPr>
        <w:t>постановлению</w:t>
      </w:r>
      <w:r>
        <w:rPr>
          <w:szCs w:val="28"/>
        </w:rPr>
        <w:t>.</w:t>
      </w:r>
    </w:p>
    <w:p w:rsidR="00144D73" w:rsidRDefault="00CA7EA1">
      <w:pPr>
        <w:pStyle w:val="210"/>
        <w:jc w:val="both"/>
      </w:pPr>
      <w:r>
        <w:rPr>
          <w:szCs w:val="28"/>
        </w:rPr>
        <w:tab/>
        <w:t>2.</w:t>
      </w:r>
      <w:r>
        <w:t>Обнародовать (опубликовать) постановление в газете «Здравствуйте, нефтеюганцы!».</w:t>
      </w:r>
    </w:p>
    <w:p w:rsidR="00144D73" w:rsidRDefault="00CA7EA1">
      <w:pPr>
        <w:pStyle w:val="210"/>
        <w:jc w:val="both"/>
      </w:pPr>
      <w:r>
        <w:tab/>
        <w:t>3.Информационно-аналитическому отделу администрации города (Михайлова Ю.В.) разместить постановление на официальном сайте органов местного самоуправления города Нефтеюганска.</w:t>
      </w:r>
    </w:p>
    <w:p w:rsidR="00144D73" w:rsidRPr="00CA7EA1" w:rsidRDefault="00CA7EA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A7EA1">
        <w:rPr>
          <w:rFonts w:ascii="Times New Roman" w:hAnsi="Times New Roman"/>
          <w:sz w:val="28"/>
          <w:szCs w:val="28"/>
        </w:rPr>
        <w:tab/>
        <w:t xml:space="preserve">4.Контроль исполнения постановления возложить на заместителя главы города Нефтеюганска Н.С.Халезову. </w:t>
      </w:r>
    </w:p>
    <w:p w:rsidR="00144D73" w:rsidRPr="00CA7EA1" w:rsidRDefault="00144D73">
      <w:pPr>
        <w:pStyle w:val="210"/>
        <w:jc w:val="both"/>
        <w:rPr>
          <w:szCs w:val="28"/>
        </w:rPr>
      </w:pPr>
    </w:p>
    <w:p w:rsidR="00144D73" w:rsidRDefault="00CA7EA1">
      <w:pPr>
        <w:pStyle w:val="210"/>
        <w:jc w:val="both"/>
        <w:rPr>
          <w:szCs w:val="28"/>
        </w:rPr>
      </w:pPr>
      <w:r>
        <w:rPr>
          <w:szCs w:val="28"/>
        </w:rPr>
        <w:t>Глава города Нефтеюганска                                                                                         Ю.В.Чекунов</w:t>
      </w:r>
    </w:p>
    <w:p w:rsidR="00CA7EA1" w:rsidRDefault="00CA7EA1">
      <w:pPr>
        <w:spacing w:after="0" w:line="240" w:lineRule="auto"/>
        <w:ind w:firstLine="6379"/>
        <w:jc w:val="right"/>
        <w:rPr>
          <w:rFonts w:ascii="Times New Roman" w:hAnsi="Times New Roman"/>
          <w:sz w:val="28"/>
          <w:szCs w:val="28"/>
        </w:rPr>
      </w:pPr>
    </w:p>
    <w:p w:rsidR="00144D73" w:rsidRDefault="00CA7EA1">
      <w:pPr>
        <w:spacing w:after="0" w:line="240" w:lineRule="auto"/>
        <w:ind w:firstLine="6379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Приложение  </w:t>
      </w:r>
    </w:p>
    <w:p w:rsidR="00144D73" w:rsidRDefault="00CA7EA1">
      <w:pPr>
        <w:spacing w:after="0" w:line="240" w:lineRule="auto"/>
        <w:ind w:firstLine="6379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 постановлению </w:t>
      </w:r>
    </w:p>
    <w:p w:rsidR="00144D73" w:rsidRDefault="00CA7EA1">
      <w:pPr>
        <w:spacing w:after="0" w:line="240" w:lineRule="auto"/>
        <w:ind w:firstLine="6379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администрации города от от 27.10.2025 № 1113-п</w:t>
      </w:r>
    </w:p>
    <w:p w:rsidR="00144D73" w:rsidRDefault="00144D73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144D73" w:rsidRDefault="00CA7EA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Реестр </w:t>
      </w:r>
    </w:p>
    <w:p w:rsidR="00144D73" w:rsidRDefault="00CA7EA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мест для размещения сезонных нестационарных торговых объектов и иных сезонных объектов по оказанию услуг населению на территории города Нефтеюганска на зимний период 2025-2026 годов</w:t>
      </w:r>
    </w:p>
    <w:p w:rsidR="00144D73" w:rsidRDefault="00144D73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tbl>
      <w:tblPr>
        <w:tblStyle w:val="aff"/>
        <w:tblW w:w="9923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568"/>
        <w:gridCol w:w="2126"/>
        <w:gridCol w:w="2126"/>
        <w:gridCol w:w="1418"/>
        <w:gridCol w:w="1559"/>
        <w:gridCol w:w="2126"/>
      </w:tblGrid>
      <w:tr w:rsidR="00144D73" w:rsidRPr="00CA7EA1" w:rsidTr="00CA7EA1">
        <w:tc>
          <w:tcPr>
            <w:tcW w:w="568" w:type="dxa"/>
          </w:tcPr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№</w:t>
            </w:r>
          </w:p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п/п</w:t>
            </w:r>
          </w:p>
        </w:tc>
        <w:tc>
          <w:tcPr>
            <w:tcW w:w="2126" w:type="dxa"/>
          </w:tcPr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Специализация</w:t>
            </w:r>
          </w:p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объекта</w:t>
            </w:r>
          </w:p>
        </w:tc>
        <w:tc>
          <w:tcPr>
            <w:tcW w:w="2126" w:type="dxa"/>
          </w:tcPr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Адрес, местоположение в г.Нефтеюганске</w:t>
            </w:r>
          </w:p>
        </w:tc>
        <w:tc>
          <w:tcPr>
            <w:tcW w:w="1418" w:type="dxa"/>
          </w:tcPr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Площадь земельного участка, кв.м.</w:t>
            </w:r>
          </w:p>
        </w:tc>
        <w:tc>
          <w:tcPr>
            <w:tcW w:w="1559" w:type="dxa"/>
          </w:tcPr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Срок пользования</w:t>
            </w:r>
          </w:p>
        </w:tc>
        <w:tc>
          <w:tcPr>
            <w:tcW w:w="2126" w:type="dxa"/>
          </w:tcPr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Примечание</w:t>
            </w:r>
          </w:p>
        </w:tc>
      </w:tr>
      <w:tr w:rsidR="00144D73" w:rsidRPr="00CA7EA1" w:rsidTr="00CA7EA1">
        <w:tc>
          <w:tcPr>
            <w:tcW w:w="568" w:type="dxa"/>
          </w:tcPr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126" w:type="dxa"/>
          </w:tcPr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2126" w:type="dxa"/>
          </w:tcPr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12 микрорайон, у стр. 61</w:t>
            </w:r>
          </w:p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(объект № 1 в приложении к настоящему Реестру)</w:t>
            </w:r>
          </w:p>
        </w:tc>
        <w:tc>
          <w:tcPr>
            <w:tcW w:w="1418" w:type="dxa"/>
          </w:tcPr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559" w:type="dxa"/>
          </w:tcPr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с момента размещения по 28.02.2026</w:t>
            </w:r>
          </w:p>
        </w:tc>
        <w:tc>
          <w:tcPr>
            <w:tcW w:w="2126" w:type="dxa"/>
          </w:tcPr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мороженое, замороженная мясная и рыбная продукция</w:t>
            </w:r>
          </w:p>
        </w:tc>
      </w:tr>
      <w:tr w:rsidR="00144D73" w:rsidRPr="00CA7EA1" w:rsidTr="00CA7EA1">
        <w:tc>
          <w:tcPr>
            <w:tcW w:w="568" w:type="dxa"/>
          </w:tcPr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26" w:type="dxa"/>
          </w:tcPr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2126" w:type="dxa"/>
          </w:tcPr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3 микрорайон, у жилого дома 7</w:t>
            </w:r>
          </w:p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(объект № 2 в приложении к настоящему Реестру)</w:t>
            </w:r>
          </w:p>
        </w:tc>
        <w:tc>
          <w:tcPr>
            <w:tcW w:w="1418" w:type="dxa"/>
          </w:tcPr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559" w:type="dxa"/>
          </w:tcPr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с момента размещения по 28.02.2026</w:t>
            </w:r>
          </w:p>
        </w:tc>
        <w:tc>
          <w:tcPr>
            <w:tcW w:w="2126" w:type="dxa"/>
          </w:tcPr>
          <w:p w:rsid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безалкогольные напитки (кофе</w:t>
            </w:r>
          </w:p>
          <w:p w:rsid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 xml:space="preserve"> с собой), кондитерские и мучные изделия </w:t>
            </w:r>
          </w:p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(в индивидуальной упаковке)</w:t>
            </w:r>
          </w:p>
        </w:tc>
      </w:tr>
      <w:tr w:rsidR="00144D73" w:rsidRPr="00CA7EA1" w:rsidTr="00CA7EA1">
        <w:tc>
          <w:tcPr>
            <w:tcW w:w="568" w:type="dxa"/>
          </w:tcPr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126" w:type="dxa"/>
          </w:tcPr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2126" w:type="dxa"/>
          </w:tcPr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2а микрорайон, ул.Гагарина</w:t>
            </w:r>
          </w:p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(объект № 3 в приложении к настоящему Реестру)</w:t>
            </w:r>
          </w:p>
        </w:tc>
        <w:tc>
          <w:tcPr>
            <w:tcW w:w="1418" w:type="dxa"/>
          </w:tcPr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559" w:type="dxa"/>
          </w:tcPr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с момента размещения по 28.02.2026</w:t>
            </w:r>
          </w:p>
        </w:tc>
        <w:tc>
          <w:tcPr>
            <w:tcW w:w="2126" w:type="dxa"/>
          </w:tcPr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 xml:space="preserve"> безалкогольные напитки</w:t>
            </w:r>
          </w:p>
        </w:tc>
      </w:tr>
      <w:tr w:rsidR="00144D73" w:rsidRPr="00CA7EA1" w:rsidTr="00CA7EA1">
        <w:trPr>
          <w:trHeight w:val="1649"/>
        </w:trPr>
        <w:tc>
          <w:tcPr>
            <w:tcW w:w="568" w:type="dxa"/>
          </w:tcPr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</w:tcPr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2126" w:type="dxa"/>
          </w:tcPr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15 микрорайон, у жилого дома 21</w:t>
            </w:r>
          </w:p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(объект № 4 в приложении к настоящему Реестру)</w:t>
            </w:r>
          </w:p>
        </w:tc>
        <w:tc>
          <w:tcPr>
            <w:tcW w:w="1418" w:type="dxa"/>
          </w:tcPr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559" w:type="dxa"/>
          </w:tcPr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с момента размещения по 28.02.2026</w:t>
            </w:r>
          </w:p>
        </w:tc>
        <w:tc>
          <w:tcPr>
            <w:tcW w:w="2126" w:type="dxa"/>
          </w:tcPr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 xml:space="preserve"> безалкогольные напитки, кондитерские и мучные изделия </w:t>
            </w:r>
          </w:p>
        </w:tc>
      </w:tr>
      <w:tr w:rsidR="00144D73" w:rsidRPr="00CA7EA1" w:rsidTr="00CA7EA1">
        <w:tc>
          <w:tcPr>
            <w:tcW w:w="568" w:type="dxa"/>
          </w:tcPr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126" w:type="dxa"/>
          </w:tcPr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2126" w:type="dxa"/>
          </w:tcPr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1 микрорайон, у жилого дома 18</w:t>
            </w:r>
          </w:p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(объект № 5 к настоящему Реестру)</w:t>
            </w:r>
          </w:p>
        </w:tc>
        <w:tc>
          <w:tcPr>
            <w:tcW w:w="1418" w:type="dxa"/>
          </w:tcPr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559" w:type="dxa"/>
          </w:tcPr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с момента размещения по 28.02.2026</w:t>
            </w:r>
          </w:p>
        </w:tc>
        <w:tc>
          <w:tcPr>
            <w:tcW w:w="2126" w:type="dxa"/>
          </w:tcPr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 xml:space="preserve"> мороженое, замороженная мясная и рыбная продукция</w:t>
            </w:r>
          </w:p>
        </w:tc>
      </w:tr>
      <w:tr w:rsidR="00144D73" w:rsidRPr="00CA7EA1" w:rsidTr="00CA7EA1">
        <w:tc>
          <w:tcPr>
            <w:tcW w:w="568" w:type="dxa"/>
          </w:tcPr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126" w:type="dxa"/>
          </w:tcPr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2126" w:type="dxa"/>
          </w:tcPr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12 микрорайон, у стр. 25а</w:t>
            </w:r>
          </w:p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(объект № 6 в приложении к настоящему Реестру)</w:t>
            </w:r>
          </w:p>
        </w:tc>
        <w:tc>
          <w:tcPr>
            <w:tcW w:w="1418" w:type="dxa"/>
          </w:tcPr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559" w:type="dxa"/>
          </w:tcPr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с момента размещения по 28.02.2026</w:t>
            </w:r>
          </w:p>
        </w:tc>
        <w:tc>
          <w:tcPr>
            <w:tcW w:w="2126" w:type="dxa"/>
          </w:tcPr>
          <w:p w:rsidR="00144D73" w:rsidRPr="00CA7EA1" w:rsidRDefault="00CA7EA1" w:rsidP="00CA7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EA1">
              <w:rPr>
                <w:rFonts w:ascii="Times New Roman" w:hAnsi="Times New Roman"/>
                <w:sz w:val="24"/>
                <w:szCs w:val="24"/>
              </w:rPr>
              <w:t>мороженое, замороженная мясная и рыбная продукция</w:t>
            </w:r>
          </w:p>
        </w:tc>
      </w:tr>
    </w:tbl>
    <w:p w:rsidR="00CA7EA1" w:rsidRDefault="00CA7EA1" w:rsidP="00CA7EA1">
      <w:pPr>
        <w:spacing w:after="0" w:line="240" w:lineRule="auto"/>
        <w:ind w:firstLine="1985"/>
        <w:jc w:val="right"/>
        <w:rPr>
          <w:rFonts w:ascii="Times New Roman" w:hAnsi="Times New Roman"/>
          <w:sz w:val="28"/>
          <w:szCs w:val="28"/>
        </w:rPr>
      </w:pPr>
    </w:p>
    <w:p w:rsidR="00144D73" w:rsidRDefault="00CA7EA1" w:rsidP="00CA7EA1">
      <w:pPr>
        <w:spacing w:after="0" w:line="240" w:lineRule="auto"/>
        <w:ind w:firstLine="1985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Приложение </w:t>
      </w:r>
    </w:p>
    <w:p w:rsidR="00144D73" w:rsidRDefault="00CA7EA1" w:rsidP="00CA7EA1">
      <w:pPr>
        <w:spacing w:after="0" w:line="240" w:lineRule="auto"/>
        <w:ind w:firstLine="1985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 Реестру мест для размещения сезонных нестационарных</w:t>
      </w:r>
    </w:p>
    <w:p w:rsidR="00144D73" w:rsidRDefault="00CA7EA1" w:rsidP="00CA7EA1">
      <w:pPr>
        <w:spacing w:after="0" w:line="240" w:lineRule="auto"/>
        <w:ind w:firstLine="1985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торговых объектов и иных сезонных объектов по оказанию услуг населению на территории города Нефтеюганска на зимний</w:t>
      </w:r>
    </w:p>
    <w:p w:rsidR="00144D73" w:rsidRDefault="00CA7EA1" w:rsidP="00CA7EA1">
      <w:pPr>
        <w:spacing w:after="0" w:line="240" w:lineRule="auto"/>
        <w:ind w:firstLine="1985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период 2025-2026 годов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144D73" w:rsidRDefault="00144D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44D73" w:rsidRDefault="00CA7EA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6299835" cy="4454229"/>
                <wp:effectExtent l="0" t="0" r="0" b="0"/>
                <wp:docPr id="2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43510352" name=""/>
                        <pic:cNvPicPr>
                          <a:picLocks noChangeAspect="1"/>
                        </pic:cNvPicPr>
                      </pic:nvPicPr>
                      <pic:blipFill>
                        <a:blip r:embed="rId8"/>
                        <a:stretch/>
                      </pic:blipFill>
                      <pic:spPr bwMode="auto">
                        <a:xfrm>
                          <a:off x="0" y="0"/>
                          <a:ext cx="6299834" cy="445422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96.05pt;height:350.73pt;mso-wrap-distance-left:0.00pt;mso-wrap-distance-top:0.00pt;mso-wrap-distance-right:0.00pt;mso-wrap-distance-bottom:0.00pt;" stroked="false">
                <v:path textboxrect="0,0,0,0"/>
                <v:imagedata r:id="rId13" o:title=""/>
              </v:shape>
            </w:pict>
          </mc:Fallback>
        </mc:AlternateContent>
      </w:r>
    </w:p>
    <w:p w:rsidR="00144D73" w:rsidRDefault="00CA7EA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6299835" cy="4454229"/>
                <wp:effectExtent l="0" t="0" r="0" b="0"/>
                <wp:docPr id="3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69619105" name=""/>
                        <pic:cNvPicPr>
                          <a:picLocks noChangeAspect="1"/>
                        </pic:cNvPicPr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6299834" cy="445422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96.05pt;height:350.73pt;mso-wrap-distance-left:0.00pt;mso-wrap-distance-top:0.00pt;mso-wrap-distance-right:0.00pt;mso-wrap-distance-bottom:0.00pt;" stroked="false">
                <v:path textboxrect="0,0,0,0"/>
                <v:imagedata r:id="rId15" o:title=""/>
              </v:shape>
            </w:pict>
          </mc:Fallback>
        </mc:AlternateContent>
      </w:r>
    </w:p>
    <w:p w:rsidR="00144D73" w:rsidRDefault="00144D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44D73" w:rsidRDefault="00CA7EA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6299835" cy="4454229"/>
                <wp:effectExtent l="0" t="0" r="0" b="0"/>
                <wp:docPr id="4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3591473" name=""/>
                        <pic:cNvPicPr>
                          <a:picLocks noChangeAspect="1"/>
                        </pic:cNvPicPr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6299834" cy="445422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96.05pt;height:350.73pt;mso-wrap-distance-left:0.00pt;mso-wrap-distance-top:0.00pt;mso-wrap-distance-right:0.00pt;mso-wrap-distance-bottom:0.00pt;" stroked="false">
                <v:path textboxrect="0,0,0,0"/>
                <v:imagedata r:id="rId17" o:title=""/>
              </v:shape>
            </w:pict>
          </mc:Fallback>
        </mc:AlternateContent>
      </w:r>
    </w:p>
    <w:p w:rsidR="00144D73" w:rsidRDefault="00CA7EA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6299835" cy="4454229"/>
                <wp:effectExtent l="0" t="0" r="0" b="0"/>
                <wp:docPr id="5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01414857" name=""/>
                        <pic:cNvPicPr>
                          <a:picLocks noChangeAspect="1"/>
                        </pic:cNvPicPr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6299834" cy="445422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96.05pt;height:350.73pt;mso-wrap-distance-left:0.00pt;mso-wrap-distance-top:0.00pt;mso-wrap-distance-right:0.00pt;mso-wrap-distance-bottom:0.00pt;" stroked="false">
                <v:path textboxrect="0,0,0,0"/>
                <v:imagedata r:id="rId19" o:title=""/>
              </v:shape>
            </w:pict>
          </mc:Fallback>
        </mc:AlternateContent>
      </w:r>
    </w:p>
    <w:p w:rsidR="00144D73" w:rsidRDefault="00144D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44D73" w:rsidRDefault="00144D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44D73" w:rsidRDefault="00CA7EA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6299835" cy="4454229"/>
                <wp:effectExtent l="0" t="0" r="0" b="0"/>
                <wp:docPr id="6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77584061" name=""/>
                        <pic:cNvPicPr>
                          <a:picLocks noChangeAspect="1"/>
                        </pic:cNvPicPr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6299834" cy="445422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96.05pt;height:350.73pt;mso-wrap-distance-left:0.00pt;mso-wrap-distance-top:0.00pt;mso-wrap-distance-right:0.00pt;mso-wrap-distance-bottom:0.00pt;" stroked="false">
                <v:path textboxrect="0,0,0,0"/>
                <v:imagedata r:id="rId21" o:title=""/>
              </v:shape>
            </w:pict>
          </mc:Fallback>
        </mc:AlternateContent>
      </w:r>
    </w:p>
    <w:p w:rsidR="00144D73" w:rsidRDefault="00144D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44D73" w:rsidRDefault="00144D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44D73" w:rsidRDefault="00CA7EA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6299835" cy="4454229"/>
                <wp:effectExtent l="0" t="0" r="0" b="0"/>
                <wp:docPr id="7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4810967" name=""/>
                        <pic:cNvPicPr>
                          <a:picLocks noChangeAspect="1"/>
                        </pic:cNvPicPr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6299834" cy="445422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96.05pt;height:350.73pt;mso-wrap-distance-left:0.00pt;mso-wrap-distance-top:0.00pt;mso-wrap-distance-right:0.00pt;mso-wrap-distance-bottom:0.00pt;" stroked="false">
                <v:path textboxrect="0,0,0,0"/>
                <v:imagedata r:id="rId23" o:title=""/>
              </v:shape>
            </w:pict>
          </mc:Fallback>
        </mc:AlternateContent>
      </w:r>
    </w:p>
    <w:p w:rsidR="00144D73" w:rsidRDefault="00144D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44D73" w:rsidRDefault="00144D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44D73" w:rsidRDefault="00144D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44D73" w:rsidRDefault="00144D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44D73" w:rsidRDefault="00144D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44D73" w:rsidRDefault="00144D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44D73" w:rsidRDefault="00144D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44D73" w:rsidRDefault="00144D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44D73" w:rsidRDefault="00144D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44D73" w:rsidRDefault="00144D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44D73" w:rsidRDefault="00144D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44D73" w:rsidRDefault="00144D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44D73" w:rsidRDefault="00144D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44D73" w:rsidRDefault="00144D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44D73" w:rsidRDefault="00144D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44D73" w:rsidRDefault="00144D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44D73" w:rsidRDefault="00144D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44D73" w:rsidRDefault="00144D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44D73" w:rsidRDefault="00144D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44D73" w:rsidRDefault="00144D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44D73" w:rsidRDefault="00144D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44D73" w:rsidRDefault="00144D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44D73" w:rsidRDefault="00144D73" w:rsidP="004E7403">
      <w:pPr>
        <w:pStyle w:val="ConsPlusNonformat"/>
        <w:widowControl/>
        <w:rPr>
          <w:rFonts w:ascii="Times New Roman" w:hAnsi="Times New Roman"/>
          <w:sz w:val="28"/>
          <w:szCs w:val="28"/>
        </w:rPr>
      </w:pPr>
      <w:bookmarkStart w:id="0" w:name="_GoBack"/>
      <w:bookmarkEnd w:id="0"/>
    </w:p>
    <w:sectPr w:rsidR="00144D73" w:rsidSect="00CA7EA1">
      <w:headerReference w:type="even" r:id="rId24"/>
      <w:headerReference w:type="default" r:id="rId25"/>
      <w:headerReference w:type="first" r:id="rId26"/>
      <w:pgSz w:w="11906" w:h="16838"/>
      <w:pgMar w:top="567" w:right="567" w:bottom="567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A1892" w:rsidRDefault="004A1892">
      <w:r>
        <w:separator/>
      </w:r>
    </w:p>
  </w:endnote>
  <w:endnote w:type="continuationSeparator" w:id="0">
    <w:p w:rsidR="004A1892" w:rsidRDefault="004A189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A1892" w:rsidRDefault="004A1892">
      <w:r>
        <w:separator/>
      </w:r>
    </w:p>
  </w:footnote>
  <w:footnote w:type="continuationSeparator" w:id="0">
    <w:p w:rsidR="004A1892" w:rsidRDefault="004A189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44D73" w:rsidRDefault="00CA7EA1">
    <w:pPr>
      <w:pStyle w:val="af9"/>
      <w:framePr w:wrap="around" w:vAnchor="text" w:hAnchor="margin" w:xAlign="center" w:y="1"/>
      <w:rPr>
        <w:rStyle w:val="afb"/>
      </w:rPr>
    </w:pPr>
    <w:r>
      <w:rPr>
        <w:rStyle w:val="afb"/>
      </w:rPr>
      <w:fldChar w:fldCharType="begin"/>
    </w:r>
    <w:r>
      <w:rPr>
        <w:rStyle w:val="afb"/>
      </w:rPr>
      <w:instrText xml:space="preserve">PAGE  </w:instrText>
    </w:r>
    <w:r>
      <w:rPr>
        <w:rStyle w:val="afb"/>
      </w:rPr>
      <w:fldChar w:fldCharType="end"/>
    </w:r>
  </w:p>
  <w:p w:rsidR="00144D73" w:rsidRDefault="00144D73">
    <w:pPr>
      <w:pStyle w:val="af9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44D73" w:rsidRDefault="00CA7EA1">
    <w:pPr>
      <w:pStyle w:val="af9"/>
      <w:jc w:val="center"/>
    </w:pPr>
    <w:r>
      <w:fldChar w:fldCharType="begin"/>
    </w:r>
    <w:r>
      <w:instrText>PAGE   \* MERGEFORMAT</w:instrText>
    </w:r>
    <w:r>
      <w:fldChar w:fldCharType="separate"/>
    </w:r>
    <w:r w:rsidR="004E7403">
      <w:rPr>
        <w:noProof/>
      </w:rPr>
      <w:t>5</w:t>
    </w:r>
    <w:r>
      <w:fldChar w:fldCharType="end"/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44D73" w:rsidRDefault="00144D73">
    <w:pPr>
      <w:pStyle w:val="af9"/>
      <w:jc w:val="cent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44D73"/>
    <w:rsid w:val="00144D73"/>
    <w:rsid w:val="004A1892"/>
    <w:rsid w:val="004E7403"/>
    <w:rsid w:val="00CA7E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68F9FB"/>
  <w15:docId w15:val="{80370726-81BF-4FB9-B776-1A823F76FF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200" w:line="276" w:lineRule="auto"/>
    </w:pPr>
    <w:rPr>
      <w:rFonts w:ascii="Calibri" w:hAnsi="Calibri"/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/>
      <w:outlineLvl w:val="5"/>
    </w:pPr>
    <w:rPr>
      <w:rFonts w:ascii="Arial" w:eastAsia="Arial" w:hAnsi="Arial" w:cs="Arial"/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/>
      <w:outlineLvl w:val="6"/>
    </w:pPr>
    <w:rPr>
      <w:rFonts w:ascii="Arial" w:eastAsia="Arial" w:hAnsi="Arial" w:cs="Arial"/>
      <w:b/>
      <w:bCs/>
      <w:i/>
      <w:iCs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/>
      <w:outlineLvl w:val="7"/>
    </w:pPr>
    <w:rPr>
      <w:rFonts w:ascii="Arial" w:eastAsia="Arial" w:hAnsi="Arial" w:cs="Arial"/>
      <w:i/>
      <w:iCs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0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0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0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0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a0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0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0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0"/>
    <w:uiPriority w:val="9"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basedOn w:val="a0"/>
    <w:uiPriority w:val="10"/>
    <w:rPr>
      <w:sz w:val="48"/>
      <w:szCs w:val="48"/>
    </w:rPr>
  </w:style>
  <w:style w:type="character" w:customStyle="1" w:styleId="SubtitleChar">
    <w:name w:val="Subtitle Char"/>
    <w:basedOn w:val="a0"/>
    <w:uiPriority w:val="11"/>
    <w:rPr>
      <w:sz w:val="24"/>
      <w:szCs w:val="24"/>
    </w:rPr>
  </w:style>
  <w:style w:type="character" w:customStyle="1" w:styleId="QuoteChar">
    <w:name w:val="Quote Char"/>
    <w:uiPriority w:val="29"/>
    <w:rPr>
      <w:i/>
    </w:rPr>
  </w:style>
  <w:style w:type="character" w:customStyle="1" w:styleId="IntenseQuoteChar">
    <w:name w:val="Intense Quote Char"/>
    <w:uiPriority w:val="30"/>
    <w:rPr>
      <w:i/>
    </w:rPr>
  </w:style>
  <w:style w:type="character" w:customStyle="1" w:styleId="FooterChar">
    <w:name w:val="Footer Char"/>
    <w:basedOn w:val="a0"/>
    <w:uiPriority w:val="99"/>
  </w:style>
  <w:style w:type="character" w:customStyle="1" w:styleId="CaptionChar">
    <w:name w:val="Caption Char"/>
    <w:basedOn w:val="a0"/>
    <w:uiPriority w:val="35"/>
    <w:rPr>
      <w:b/>
      <w:bCs/>
      <w:color w:val="4F81BD" w:themeColor="accent1"/>
      <w:sz w:val="18"/>
      <w:szCs w:val="18"/>
    </w:rPr>
  </w:style>
  <w:style w:type="character" w:customStyle="1" w:styleId="FootnoteTextChar">
    <w:name w:val="Footnote Text Char"/>
    <w:uiPriority w:val="99"/>
    <w:rPr>
      <w:sz w:val="18"/>
    </w:rPr>
  </w:style>
  <w:style w:type="character" w:customStyle="1" w:styleId="EndnoteTextChar">
    <w:name w:val="Endnote Text Char"/>
    <w:uiPriority w:val="99"/>
    <w:rPr>
      <w:sz w:val="20"/>
    </w:rPr>
  </w:style>
  <w:style w:type="character" w:customStyle="1" w:styleId="10">
    <w:name w:val="Заголовок 1 Знак"/>
    <w:basedOn w:val="a0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pPr>
      <w:ind w:left="720"/>
      <w:contextualSpacing/>
    </w:pPr>
  </w:style>
  <w:style w:type="paragraph" w:styleId="a4">
    <w:name w:val="No Spacing"/>
    <w:uiPriority w:val="1"/>
    <w:qFormat/>
  </w:style>
  <w:style w:type="paragraph" w:styleId="a5">
    <w:name w:val="Title"/>
    <w:basedOn w:val="a"/>
    <w:next w:val="a"/>
    <w:link w:val="a6"/>
    <w:uiPriority w:val="10"/>
    <w:qFormat/>
    <w:pPr>
      <w:spacing w:before="300"/>
      <w:contextualSpacing/>
    </w:pPr>
    <w:rPr>
      <w:sz w:val="48"/>
      <w:szCs w:val="48"/>
    </w:rPr>
  </w:style>
  <w:style w:type="character" w:customStyle="1" w:styleId="a6">
    <w:name w:val="Заголовок Знак"/>
    <w:basedOn w:val="a0"/>
    <w:link w:val="a5"/>
    <w:uiPriority w:val="10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pPr>
      <w:spacing w:before="200"/>
    </w:pPr>
    <w:rPr>
      <w:sz w:val="24"/>
      <w:szCs w:val="24"/>
    </w:rPr>
  </w:style>
  <w:style w:type="character" w:customStyle="1" w:styleId="a8">
    <w:name w:val="Подзаголовок Знак"/>
    <w:basedOn w:val="a0"/>
    <w:link w:val="a7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9">
    <w:name w:val="Intense Quote"/>
    <w:basedOn w:val="a"/>
    <w:next w:val="a"/>
    <w:link w:val="aa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a">
    <w:name w:val="Выделенная цитата Знак"/>
    <w:link w:val="a9"/>
    <w:uiPriority w:val="30"/>
    <w:rPr>
      <w:i/>
    </w:rPr>
  </w:style>
  <w:style w:type="character" w:customStyle="1" w:styleId="HeaderChar">
    <w:name w:val="Header Char"/>
    <w:basedOn w:val="a0"/>
    <w:uiPriority w:val="99"/>
  </w:style>
  <w:style w:type="character" w:customStyle="1" w:styleId="ab">
    <w:name w:val="Нижний колонтитул Знак"/>
    <w:basedOn w:val="a0"/>
    <w:link w:val="ac"/>
    <w:uiPriority w:val="99"/>
  </w:style>
  <w:style w:type="paragraph" w:styleId="ad">
    <w:name w:val="caption"/>
    <w:basedOn w:val="a"/>
    <w:next w:val="a"/>
    <w:link w:val="ae"/>
    <w:uiPriority w:val="35"/>
    <w:semiHidden/>
    <w:unhideWhenUsed/>
    <w:qFormat/>
    <w:rPr>
      <w:b/>
      <w:bCs/>
      <w:color w:val="4F81BD" w:themeColor="accent1"/>
      <w:sz w:val="18"/>
      <w:szCs w:val="18"/>
    </w:rPr>
  </w:style>
  <w:style w:type="character" w:customStyle="1" w:styleId="ae">
    <w:name w:val="Название объекта Знак"/>
    <w:basedOn w:val="a0"/>
    <w:link w:val="ad"/>
    <w:uiPriority w:val="35"/>
    <w:rPr>
      <w:b/>
      <w:bCs/>
      <w:color w:val="4F81BD" w:themeColor="accent1"/>
      <w:sz w:val="18"/>
      <w:szCs w:val="18"/>
    </w:rPr>
  </w:style>
  <w:style w:type="table" w:customStyle="1" w:styleId="TableGridLight">
    <w:name w:val="Table Grid Light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styleId="11">
    <w:name w:val="Plain Table 1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styleId="23">
    <w:name w:val="Plain Table 2"/>
    <w:basedOn w:val="a1"/>
    <w:uiPriority w:val="59"/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31">
    <w:name w:val="Plain Table 3"/>
    <w:basedOn w:val="a1"/>
    <w:uiPriority w:val="99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41">
    <w:name w:val="Plain Table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51">
    <w:name w:val="Plain Table 5"/>
    <w:basedOn w:val="a1"/>
    <w:uiPriority w:val="99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-1">
    <w:name w:val="Grid Table 1 Light"/>
    <w:basedOn w:val="a1"/>
    <w:uiPriority w:val="99"/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styleId="-2">
    <w:name w:val="Grid Table 2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3">
    <w:name w:val="Grid Table 3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4">
    <w:name w:val="Grid Table 4"/>
    <w:basedOn w:val="a1"/>
    <w:uiPriority w:val="59"/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5">
    <w:name w:val="Grid Table 5 Dark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styleId="-6">
    <w:name w:val="Grid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tblPr>
      <w:tblStyleRowBandSize w:val="1"/>
      <w:tblStyleColBandSize w:val="1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tblPr>
      <w:tblStyleRowBandSize w:val="1"/>
      <w:tblStyleColBandSize w:val="1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styleId="-7">
    <w:name w:val="Grid Table 7 Colorful"/>
    <w:basedOn w:val="a1"/>
    <w:uiPriority w:val="99"/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tblPr>
      <w:tblStyleRowBandSize w:val="1"/>
      <w:tblStyleColBandSize w:val="1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6BFDD" w:themeColor="accen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6BFDD" w:themeColor="accen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ABB59" w:themeColor="accent3" w:themeTint="FE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9ABB59" w:themeColor="accent3" w:themeTint="FE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tblPr>
      <w:tblStyleRowBandSize w:val="1"/>
      <w:tblStyleColBandSize w:val="1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single" w:sz="4" w:space="0" w:color="99D0DE" w:themeColor="accent5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tblPr>
      <w:tblStyleRowBandSize w:val="1"/>
      <w:tblStyleColBandSize w:val="1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single" w:sz="4" w:space="0" w:color="FAC396" w:themeColor="accent6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styleId="-10">
    <w:name w:val="List Table 1 Light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styleId="-20">
    <w:name w:val="List Table 2"/>
    <w:basedOn w:val="a1"/>
    <w:uiPriority w:val="99"/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tblPr>
      <w:tblStyleRowBandSize w:val="1"/>
      <w:tblStyleColBandSize w:val="1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tblPr>
      <w:tblStyleRowBandSize w:val="1"/>
      <w:tblStyleColBandSize w:val="1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tblPr>
      <w:tblStyleRowBandSize w:val="1"/>
      <w:tblStyleColBandSize w:val="1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tblPr>
      <w:tblStyleRowBandSize w:val="1"/>
      <w:tblStyleColBandSize w:val="1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tblPr>
      <w:tblStyleRowBandSize w:val="1"/>
      <w:tblStyleColBandSize w:val="1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tblPr>
      <w:tblStyleRowBandSize w:val="1"/>
      <w:tblStyleColBandSize w:val="1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styleId="-30">
    <w:name w:val="List Table 3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tblPr>
      <w:tblStyleRowBandSize w:val="1"/>
      <w:tblStyleColBandSize w:val="1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tblPr>
      <w:tblStyleRowBandSize w:val="1"/>
      <w:tblStyleColBandSize w:val="1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tblPr>
      <w:tblStyleRowBandSize w:val="1"/>
      <w:tblStyleColBandSize w:val="1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tblPr>
      <w:tblStyleRowBandSize w:val="1"/>
      <w:tblStyleColBandSize w:val="1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styleId="-40">
    <w:name w:val="List Table 4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styleId="-50">
    <w:name w:val="List Table 5 Dark"/>
    <w:basedOn w:val="a1"/>
    <w:uiPriority w:val="99"/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tblPr>
      <w:tblStyleRowBandSize w:val="1"/>
      <w:tblStyleColBandSize w:val="1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basedOn w:val="a1"/>
    <w:uiPriority w:val="99"/>
    <w:tblPr>
      <w:tblStyleRowBandSize w:val="1"/>
      <w:tblStyleColBandSize w:val="1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tblPr>
      <w:tblStyleRowBandSize w:val="1"/>
      <w:tblStyleColBandSize w:val="1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tblPr>
      <w:tblStyleRowBandSize w:val="1"/>
      <w:tblStyleColBandSize w:val="1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tblPr>
      <w:tblStyleRowBandSize w:val="1"/>
      <w:tblStyleColBandSize w:val="1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tblPr>
      <w:tblStyleRowBandSize w:val="1"/>
      <w:tblStyleColBandSize w:val="1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styleId="-60">
    <w:name w:val="List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tblPr>
      <w:tblStyleRowBandSize w:val="1"/>
      <w:tblStyleColBandSize w:val="1"/>
      <w:tblBorders>
        <w:top w:val="single" w:sz="4" w:space="0" w:color="4F81BD" w:themeColor="accent1"/>
        <w:bottom w:val="single" w:sz="4" w:space="0" w:color="4F81BD" w:themeColor="accent1"/>
      </w:tblBorders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bottom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tblPr>
      <w:tblStyleRowBandSize w:val="1"/>
      <w:tblStyleColBandSize w:val="1"/>
      <w:tblBorders>
        <w:top w:val="single" w:sz="4" w:space="0" w:color="C3D69B" w:themeColor="accent3" w:themeTint="98"/>
        <w:bottom w:val="single" w:sz="4" w:space="0" w:color="C3D69B" w:themeColor="accent3" w:themeTint="98"/>
      </w:tblBorders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bottom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tblPr>
      <w:tblStyleRowBandSize w:val="1"/>
      <w:tblStyleColBandSize w:val="1"/>
      <w:tblBorders>
        <w:top w:val="single" w:sz="4" w:space="0" w:color="92CCDC" w:themeColor="accent5" w:themeTint="9A"/>
        <w:bottom w:val="single" w:sz="4" w:space="0" w:color="92CCDC" w:themeColor="accent5" w:themeTint="9A"/>
      </w:tblBorders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tblPr>
      <w:tblStyleRowBandSize w:val="1"/>
      <w:tblStyleColBandSize w:val="1"/>
      <w:tblBorders>
        <w:top w:val="single" w:sz="4" w:space="0" w:color="FAC090" w:themeColor="accent6" w:themeTint="98"/>
        <w:bottom w:val="single" w:sz="4" w:space="0" w:color="FAC090" w:themeColor="accent6" w:themeTint="98"/>
      </w:tblBorders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styleId="-70">
    <w:name w:val="List Table 7 Colorful"/>
    <w:basedOn w:val="a1"/>
    <w:uiPriority w:val="99"/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tblPr>
      <w:tblStyleRowBandSize w:val="1"/>
      <w:tblStyleColBandSize w:val="1"/>
      <w:tblBorders>
        <w:right w:val="single" w:sz="4" w:space="0" w:color="4F81BD" w:themeColor="accent1"/>
      </w:tblBorders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single" w:sz="4" w:space="0" w:color="4F81BD" w:themeColor="accent1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tblPr>
      <w:tblStyleRowBandSize w:val="1"/>
      <w:tblStyleColBandSize w:val="1"/>
      <w:tblBorders>
        <w:right w:val="single" w:sz="4" w:space="0" w:color="D99695" w:themeColor="accent2" w:themeTint="97"/>
      </w:tblBorders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tblPr>
      <w:tblStyleRowBandSize w:val="1"/>
      <w:tblStyleColBandSize w:val="1"/>
      <w:tblBorders>
        <w:right w:val="single" w:sz="4" w:space="0" w:color="C3D69B" w:themeColor="accent3" w:themeTint="98"/>
      </w:tblBorders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3D69B" w:themeColor="accent3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3D69B" w:themeColor="accent3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tblPr>
      <w:tblStyleRowBandSize w:val="1"/>
      <w:tblStyleColBandSize w:val="1"/>
      <w:tblBorders>
        <w:right w:val="single" w:sz="4" w:space="0" w:color="B2A1C6" w:themeColor="accent4" w:themeTint="9A"/>
      </w:tblBorders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tblPr>
      <w:tblStyleRowBandSize w:val="1"/>
      <w:tblStyleColBandSize w:val="1"/>
      <w:tblBorders>
        <w:right w:val="single" w:sz="4" w:space="0" w:color="92CCDC" w:themeColor="accent5" w:themeTint="9A"/>
      </w:tblBorders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2CCDC" w:themeColor="accent5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92CCDC" w:themeColor="accent5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tblPr>
      <w:tblStyleRowBandSize w:val="1"/>
      <w:tblStyleColBandSize w:val="1"/>
      <w:tblBorders>
        <w:right w:val="single" w:sz="4" w:space="0" w:color="FAC090" w:themeColor="accent6" w:themeTint="98"/>
      </w:tblBorders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090" w:themeColor="accent6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FAC090" w:themeColor="accent6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basedOn w:val="a1"/>
    <w:uiPriority w:val="99"/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paragraph" w:styleId="af">
    <w:name w:val="footnote text"/>
    <w:basedOn w:val="a"/>
    <w:link w:val="af0"/>
    <w:uiPriority w:val="99"/>
    <w:semiHidden/>
    <w:unhideWhenUsed/>
    <w:pPr>
      <w:spacing w:after="40" w:line="240" w:lineRule="auto"/>
    </w:pPr>
    <w:rPr>
      <w:sz w:val="18"/>
    </w:rPr>
  </w:style>
  <w:style w:type="character" w:customStyle="1" w:styleId="af0">
    <w:name w:val="Текст сноски Знак"/>
    <w:link w:val="af"/>
    <w:uiPriority w:val="99"/>
    <w:rPr>
      <w:sz w:val="18"/>
    </w:rPr>
  </w:style>
  <w:style w:type="character" w:styleId="af1">
    <w:name w:val="footnote reference"/>
    <w:basedOn w:val="a0"/>
    <w:uiPriority w:val="99"/>
    <w:unhideWhenUsed/>
    <w:rPr>
      <w:vertAlign w:val="superscript"/>
    </w:rPr>
  </w:style>
  <w:style w:type="paragraph" w:styleId="af2">
    <w:name w:val="endnote text"/>
    <w:basedOn w:val="a"/>
    <w:link w:val="af3"/>
    <w:uiPriority w:val="99"/>
    <w:semiHidden/>
    <w:unhideWhenUsed/>
    <w:pPr>
      <w:spacing w:after="0" w:line="240" w:lineRule="auto"/>
    </w:pPr>
    <w:rPr>
      <w:sz w:val="20"/>
    </w:rPr>
  </w:style>
  <w:style w:type="character" w:customStyle="1" w:styleId="af3">
    <w:name w:val="Текст концевой сноски Знак"/>
    <w:link w:val="af2"/>
    <w:uiPriority w:val="99"/>
    <w:rPr>
      <w:sz w:val="20"/>
    </w:rPr>
  </w:style>
  <w:style w:type="character" w:styleId="af4">
    <w:name w:val="endnote reference"/>
    <w:basedOn w:val="a0"/>
    <w:uiPriority w:val="99"/>
    <w:semiHidden/>
    <w:unhideWhenUsed/>
    <w:rPr>
      <w:vertAlign w:val="superscript"/>
    </w:rPr>
  </w:style>
  <w:style w:type="paragraph" w:styleId="12">
    <w:name w:val="toc 1"/>
    <w:basedOn w:val="a"/>
    <w:next w:val="a"/>
    <w:uiPriority w:val="39"/>
    <w:unhideWhenUsed/>
    <w:pPr>
      <w:spacing w:after="57"/>
    </w:pPr>
  </w:style>
  <w:style w:type="paragraph" w:styleId="24">
    <w:name w:val="toc 2"/>
    <w:basedOn w:val="a"/>
    <w:next w:val="a"/>
    <w:uiPriority w:val="39"/>
    <w:unhideWhenUsed/>
    <w:pPr>
      <w:spacing w:after="57"/>
      <w:ind w:left="283"/>
    </w:pPr>
  </w:style>
  <w:style w:type="paragraph" w:styleId="32">
    <w:name w:val="toc 3"/>
    <w:basedOn w:val="a"/>
    <w:next w:val="a"/>
    <w:uiPriority w:val="39"/>
    <w:unhideWhenUsed/>
    <w:pPr>
      <w:spacing w:after="57"/>
      <w:ind w:left="567"/>
    </w:pPr>
  </w:style>
  <w:style w:type="paragraph" w:styleId="42">
    <w:name w:val="toc 4"/>
    <w:basedOn w:val="a"/>
    <w:next w:val="a"/>
    <w:uiPriority w:val="39"/>
    <w:unhideWhenUsed/>
    <w:pPr>
      <w:spacing w:after="57"/>
      <w:ind w:left="850"/>
    </w:pPr>
  </w:style>
  <w:style w:type="paragraph" w:styleId="52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5">
    <w:name w:val="TOC Heading"/>
    <w:uiPriority w:val="39"/>
    <w:unhideWhenUsed/>
  </w:style>
  <w:style w:type="paragraph" w:styleId="af6">
    <w:name w:val="table of figures"/>
    <w:basedOn w:val="a"/>
    <w:next w:val="a"/>
    <w:uiPriority w:val="99"/>
    <w:unhideWhenUsed/>
    <w:pPr>
      <w:spacing w:after="0"/>
    </w:pPr>
  </w:style>
  <w:style w:type="character" w:styleId="af7">
    <w:name w:val="Strong"/>
    <w:qFormat/>
    <w:rPr>
      <w:b/>
      <w:bCs/>
    </w:rPr>
  </w:style>
  <w:style w:type="paragraph" w:customStyle="1" w:styleId="ConsPlusNonformat">
    <w:name w:val="ConsPlusNonformat"/>
    <w:qFormat/>
    <w:pPr>
      <w:widowControl w:val="0"/>
    </w:pPr>
    <w:rPr>
      <w:rFonts w:ascii="Courier New" w:eastAsia="Calibri" w:hAnsi="Courier New" w:cs="Courier New"/>
    </w:rPr>
  </w:style>
  <w:style w:type="paragraph" w:customStyle="1" w:styleId="210">
    <w:name w:val="Основной текст 21"/>
    <w:basedOn w:val="a"/>
    <w:pPr>
      <w:spacing w:after="0" w:line="240" w:lineRule="auto"/>
    </w:pPr>
    <w:rPr>
      <w:rFonts w:ascii="Times New Roman" w:hAnsi="Times New Roman"/>
      <w:sz w:val="28"/>
      <w:szCs w:val="20"/>
      <w:lang w:eastAsia="ru-RU"/>
    </w:rPr>
  </w:style>
  <w:style w:type="paragraph" w:customStyle="1" w:styleId="af8">
    <w:name w:val="Знак Знак Знак Знак Знак Знак Знак Знак Знак Знак Знак Знак Знак"/>
    <w:basedOn w:val="a"/>
    <w:pPr>
      <w:spacing w:after="160" w:line="240" w:lineRule="exact"/>
    </w:pPr>
    <w:rPr>
      <w:rFonts w:ascii="Verdana" w:hAnsi="Verdana" w:cs="Verdana"/>
      <w:sz w:val="20"/>
      <w:szCs w:val="20"/>
      <w:lang w:val="en-US"/>
    </w:rPr>
  </w:style>
  <w:style w:type="paragraph" w:customStyle="1" w:styleId="ConsPlusCell">
    <w:name w:val="ConsPlusCell"/>
    <w:pPr>
      <w:widowControl w:val="0"/>
    </w:pPr>
    <w:rPr>
      <w:rFonts w:ascii="Arial" w:eastAsia="Calibri" w:hAnsi="Arial" w:cs="Arial"/>
    </w:rPr>
  </w:style>
  <w:style w:type="paragraph" w:styleId="af9">
    <w:name w:val="header"/>
    <w:basedOn w:val="a"/>
    <w:link w:val="afa"/>
    <w:uiPriority w:val="99"/>
    <w:pPr>
      <w:tabs>
        <w:tab w:val="center" w:pos="4677"/>
        <w:tab w:val="right" w:pos="9355"/>
      </w:tabs>
    </w:pPr>
  </w:style>
  <w:style w:type="character" w:styleId="afb">
    <w:name w:val="page number"/>
    <w:basedOn w:val="a0"/>
  </w:style>
  <w:style w:type="paragraph" w:styleId="ac">
    <w:name w:val="footer"/>
    <w:basedOn w:val="a"/>
    <w:link w:val="ab"/>
    <w:pPr>
      <w:tabs>
        <w:tab w:val="center" w:pos="4677"/>
        <w:tab w:val="right" w:pos="9355"/>
      </w:tabs>
    </w:pPr>
  </w:style>
  <w:style w:type="paragraph" w:customStyle="1" w:styleId="ConsPlusNormal">
    <w:name w:val="ConsPlusNormal"/>
    <w:rPr>
      <w:rFonts w:ascii="Times New Roman CYR" w:hAnsi="Times New Roman CYR" w:cs="Times New Roman CYR"/>
      <w:sz w:val="28"/>
      <w:szCs w:val="28"/>
    </w:rPr>
  </w:style>
  <w:style w:type="paragraph" w:styleId="afc">
    <w:name w:val="Balloon Text"/>
    <w:basedOn w:val="a"/>
    <w:link w:val="a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d">
    <w:name w:val="Текст выноски Знак"/>
    <w:link w:val="afc"/>
    <w:rPr>
      <w:rFonts w:ascii="Tahoma" w:hAnsi="Tahoma" w:cs="Tahoma"/>
      <w:sz w:val="16"/>
      <w:szCs w:val="16"/>
      <w:lang w:eastAsia="en-US"/>
    </w:rPr>
  </w:style>
  <w:style w:type="character" w:customStyle="1" w:styleId="afa">
    <w:name w:val="Верхний колонтитул Знак"/>
    <w:link w:val="af9"/>
    <w:uiPriority w:val="99"/>
    <w:rPr>
      <w:rFonts w:ascii="Calibri" w:hAnsi="Calibri"/>
      <w:sz w:val="22"/>
      <w:szCs w:val="22"/>
      <w:lang w:eastAsia="en-US"/>
    </w:rPr>
  </w:style>
  <w:style w:type="character" w:styleId="afe">
    <w:name w:val="Hyperlink"/>
    <w:unhideWhenUsed/>
    <w:rPr>
      <w:color w:val="0000FF"/>
      <w:u w:val="single"/>
    </w:rPr>
  </w:style>
  <w:style w:type="table" w:styleId="aff">
    <w:name w:val="Table Grid"/>
    <w:basedOn w:val="a1"/>
    <w:uiPriority w:val="59"/>
    <w:pPr>
      <w:spacing w:after="200" w:line="276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ConsPlusTitle">
    <w:name w:val="ConsPlusTitle"/>
    <w:pPr>
      <w:widowControl w:val="0"/>
    </w:pPr>
    <w:rPr>
      <w:rFonts w:ascii="Arial" w:hAnsi="Arial" w:cs="Arial"/>
      <w:b/>
      <w:bCs/>
    </w:rPr>
  </w:style>
  <w:style w:type="table" w:customStyle="1" w:styleId="13">
    <w:name w:val="Сетка таблицы1"/>
    <w:basedOn w:val="a1"/>
    <w:next w:val="aff"/>
    <w:uiPriority w:val="59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20.jpg"/><Relationship Id="rId18" Type="http://schemas.openxmlformats.org/officeDocument/2006/relationships/image" Target="media/image5.jpg"/><Relationship Id="rId26" Type="http://schemas.openxmlformats.org/officeDocument/2006/relationships/header" Target="header3.xml"/><Relationship Id="rId3" Type="http://schemas.openxmlformats.org/officeDocument/2006/relationships/settings" Target="settings.xml"/><Relationship Id="rId21" Type="http://schemas.openxmlformats.org/officeDocument/2006/relationships/image" Target="media/image60.jpg"/><Relationship Id="rId7" Type="http://schemas.openxmlformats.org/officeDocument/2006/relationships/image" Target="media/image1.jpg"/><Relationship Id="rId17" Type="http://schemas.openxmlformats.org/officeDocument/2006/relationships/image" Target="media/image40.jpg"/><Relationship Id="rId25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image" Target="media/image4.jpg"/><Relationship Id="rId20" Type="http://schemas.openxmlformats.org/officeDocument/2006/relationships/image" Target="media/image6.jp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4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30.jpg"/><Relationship Id="rId23" Type="http://schemas.openxmlformats.org/officeDocument/2006/relationships/image" Target="media/image70.jpg"/><Relationship Id="rId28" Type="http://schemas.openxmlformats.org/officeDocument/2006/relationships/theme" Target="theme/theme1.xml"/><Relationship Id="rId19" Type="http://schemas.openxmlformats.org/officeDocument/2006/relationships/image" Target="media/image50.jpg"/><Relationship Id="rId4" Type="http://schemas.openxmlformats.org/officeDocument/2006/relationships/webSettings" Target="webSettings.xml"/><Relationship Id="rId14" Type="http://schemas.openxmlformats.org/officeDocument/2006/relationships/image" Target="media/image3.jpg"/><Relationship Id="rId22" Type="http://schemas.openxmlformats.org/officeDocument/2006/relationships/image" Target="media/image7.jp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146BA10-A2FF-49F7-9294-72A0C0DAF9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603</Words>
  <Characters>3441</Characters>
  <Application>Microsoft Office Word</Application>
  <DocSecurity>0</DocSecurity>
  <Lines>28</Lines>
  <Paragraphs>8</Paragraphs>
  <ScaleCrop>false</ScaleCrop>
  <Company>diizo</Company>
  <LinksUpToDate>false</LinksUpToDate>
  <CharactersWithSpaces>4036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Korkashevich</dc:creator>
  <cp:lastModifiedBy>Татьяна Андреевна Науменко</cp:lastModifiedBy>
  <cp:revision>26</cp:revision>
  <dcterms:created xsi:type="dcterms:W3CDTF">2025-01-21T05:53:00Z</dcterms:created>
  <dcterms:modified xsi:type="dcterms:W3CDTF">2025-10-27T10:15:00Z</dcterms:modified>
</cp:coreProperties>
</file>