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к прогнозу социально-экономического развития муниципального образования город Нефтеюганск на 2015 год и плановый период 2016 и 2017 годов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город Нефтеюганск на 2015 год и плановый 2016 и 2017 годов (далее – прогноз) разработан на основе одобренных Правительством Российской Федерации сценарных условий социально-экономического развития Российской Федерации, исходя из ориентиров, приоритетов социально-экономического развития, сформулированных в Концепции долгосрочного социально - экономического развития Российской Федерации на период до 2020 года, Стратегии социально-экономического развития Ханты-Мансийского автономного округа - Югры до 2020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года и на период до 2030 года, Стратегии социально-экономического развития города Нефтеюганска до 2020 года, одобренной Решением Думы города от 22 декабря 2009 г.  № 676 - IV, указов Президента Российской Федерации от 7 мая 2012 года, в основных направлениях бюджетной политики Российской Федерации на 2015 год и на плановый период 2016 и 2017 годов, с учетом особенностей и внутренних возможностей города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, а также обобщенных прогнозных материалов предприятий, учреждений, организаций, осуществляющих свою деятельность на территории муниципального образования город Нефтеюганск.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прогнозе учтены итоги социально-экономического развития города Нефтеюганска за 2013 год.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Прогноз сценарных условий социально-экономического развития на период 2015-2017 годов разработан на вариантной основе. Основные варианты прогноза – вариант 1 (консервативный), вариант 2 (умеренно-оптимистичный) – разработаны на основе единой гипотезы внешних условий и различаются моделями поведения частного бизнеса, перспективами повышения его конкурентоспособности и эффективностью реализации государственной политики.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Вариант 1 предлагается рассматривать в качестве базового для разработки параметров бюджета города Нефтеюганск на 2015 год и на плановый период 2016 и 2017 годов.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Вариант 2 - предполагает более высокие темпы социально-экономического развития по сравнению с первым вариантом. Вариант менее консервативен.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Прогноз социально-экономического развития муниципального образования представляет собой систему индикативных параметров развития города на среднесрочную перспективу. 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оценка социально-экономической ситуации в муниципальном образовании за отчетный период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1. Промышленное производство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Объём отгруженных товаров собственного производства, выполненных работ и услуг собственными силами по крупным и средним организациям  – производителям   промышленной продукции за 2013 год составил 31 689,58 млн. рублей, индекс промышленного производства сложился в размере 118,16%.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Характеристика динамики развития базовых видов промышленной деятельности: </w:t>
      </w:r>
    </w:p>
    <w:p w:rsidR="00A5720E" w:rsidRPr="00A5720E" w:rsidRDefault="00A5720E" w:rsidP="00A5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«Добыча полезных ископаемых» - 21 980,17 млн. рублей, индекс промышленного производства  - 129,54 %; </w:t>
      </w:r>
    </w:p>
    <w:p w:rsidR="00A5720E" w:rsidRPr="00A5720E" w:rsidRDefault="00A5720E" w:rsidP="00A5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«Обрабатывающие производства» - 5 541,27 млн. рублей, индекс промышленного производства - 100,08 %; </w:t>
      </w:r>
    </w:p>
    <w:p w:rsidR="00A5720E" w:rsidRPr="00A5720E" w:rsidRDefault="00A5720E" w:rsidP="00A57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«Производство и распределение электроэнергии, газа и воды» - 4168,14 млн. рублей, индекс промышленного производства - 94,81 %.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Наиболее крупные предприятия города: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3"/>
      </w:tblGrid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  <w:bookmarkEnd w:id="0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РН-Юганскнефтегаз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филиал компании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КанБайкал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Резорсез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 филиал 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Везерфорд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 филиал 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СГК-бурение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 филиал 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РН-Бурение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«НДРСУ»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ЮрскНефть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РН-Автоматика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ЗАО «ССК»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ЮНГ-Нефтехимсервис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ООО «Сиам Мастер» 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ООО «Сервисная компания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Петроальянс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ЮНГ-Теплонефть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ЗАО «РН-ЭНЕРГО»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Энерготранссервис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Юганскводоканал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Югансктранстеплосервис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«ЮТЭ</w:t>
            </w:r>
            <w:proofErr w:type="gram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Нефтеюганск»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отделение ОАО «Тюменская 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СЕРВИСНЫЕ ПРЕДПРИЯТИЯ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Энергонефть-Югра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«ЮНГ-Сервис»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«Имущество-Сервис-Нефтеюганск»</w:t>
            </w:r>
          </w:p>
        </w:tc>
      </w:tr>
      <w:tr w:rsidR="00A5720E" w:rsidRPr="00A5720E" w:rsidTr="00A5720E">
        <w:trPr>
          <w:tblCellSpacing w:w="7" w:type="dxa"/>
        </w:trPr>
        <w:tc>
          <w:tcPr>
            <w:tcW w:w="9360" w:type="dxa"/>
            <w:hideMark/>
          </w:tcPr>
          <w:p w:rsidR="00A5720E" w:rsidRPr="00A5720E" w:rsidRDefault="00A5720E" w:rsidP="00A5720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 «</w:t>
            </w:r>
            <w:proofErr w:type="spellStart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Спецкоммунсервис</w:t>
            </w:r>
            <w:proofErr w:type="spellEnd"/>
            <w:r w:rsidRPr="00A5720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По прогнозной оценке в 2014 году объём отгруженных товаров собственного производства, выполненных работ и услуг производителями промышленной продукции производственного сектора экономики города составит 34 631,02 млн. рублей, индекс промышленного производства – 99,35%.  Добыча полезных ископаемых остается определяющим вектором в экономике города. В структуре промышленного производства добыча полезных ископаемых в 2014 году будет составлять 72 % против 69,36 % в 2013 году.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К 2017 году прогнозируется увеличение объема промышленного производства до 36 285,57 млн. рублей, при этом индекс производства в сопоставимых ценах составит 97,38 %.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Объем добытой нефти РФК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КанБайкал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Резорсез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Инк» в 2013 году составил 324,5 тыс. тонн. В 2014 году предприятие планирует увеличить достигнутые объемы до 357 тыс. тонн и в дальнейшем наращивать объём добычи нефти.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Следует отметить, что более 80 % объёмов выполненных работ по добыче топливно-энергетических полезных ископаемых приходится на услуги по добыче нефти и газа, в том числе по бурению, связанному с добычей нефти, газа и газового конденсата (ООО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ЮНГ-Нефтехимсервис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», НФ 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РН-Бурение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», Нефтеюганский филиал 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Везерфорд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», Нефтеюганский филиал 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СГК-Бурение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»).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в обрабатывающем производстве в 2014 году оценивается в размере 5 197,62 млн. рублей, индекс производства в сопоставимых ценах составит 85,82 %. В 2015 году индекс производства составит 89,48 %, в 2016 году - 96,95 %, в 2017 году - 97,98 %.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Наибольший удельный вес (62,7 %) в структуре обрабатывающего сектора производства занимают организации по производству машин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и оборудования.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Индекс отгрузки в сфере производства и распределения энергии в 2013 году сложился в размере 94,81 % или 4 168,14 млн. рублей. По прогнозной оценке в 2014 году индекс составит 99,28 % или 4 498,15 млн. рублей.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Энергетическая отрасль представлена такими крупными предприятиями, как ОАО «Тюменская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компания», 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ЮНГ-Энергонефть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». ОАО «Тюменская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компания» осуществляет свою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как на оптовом, так и розничном рынках электроэнергии. 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ЮНГ-Энергонефть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 обеспечивает бесперебойное электроснабжение объектов нефтедобычи, расположенных на 28 месторождениях одной из крупнейших нефтяных компаний России - ОАО «НК «РОСНЕФТЬ».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2. Инвестиции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Объём инвестиций за счёт всех источников финансирования в 2014 году оценивается в размере 8 839,03 млн. рублей, что в ценах соответствующих лет на 13,3 % превышает уровень предыдущего года. В 2015 году данный показатель составит 9 105,18 млн.  рублей, в 2016 году –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lastRenderedPageBreak/>
        <w:t>9 687,98 млн. рублей, в 2017 году – 10 354,06 млн. рублей.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В отраслевой структуре инвестиций сохраняется доминирующее положение организаций сферы материального производства.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течение 2014-2017 годов программа по реализации жилищных программ будет продолжена. Согласно оценке в 2014 году будет введено 50,8 тыс.кв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етров жилья. В прогнозном периоде 2015-2017 гг. планируется ввести в эксплуатацию жилых домов общей площадью 206 тыс.кв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етров.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целях обеспечения развития и модернизации систем коммунальной инфраструктуры, в соответствии с потребностями жилищного и промышленного строительства ОАО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Юганскводоканал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» была разработана долгосрочная инвестиционная программа (по перечню объектов, реконструкция или строительство которых имеет для города приоритетное значение). Конечным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которой ожидается повышение качества услуг, рост эффективности работы систем водоснабжения и водоотведения, обеспечение потенциала мощностей, внедрение ресурсосберегающих технологий.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Кроме того, в рамках государственно-частного партнерства ведётся строительство объектов: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«Детский сад на 320 мест в 11 Б микрорайоне»;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«Детский сад на 320 мест в 4 микрорайоне г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ефтеюганска».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Введены в эксплуатацию социально-значимые объекты: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 детский сад в 15 микрорайоне на 300 мест;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парково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зона г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ефтеюганска со зданием крытого бассейна;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автодорога по ул.Пойменная от т.12* до т.10*;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участок автодороги по ул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абережная от т.10* до т.9*.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Ряд крупных и средних предприятий планирует рост объема инвестиций в основной капитал (ООО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ЮрскНефть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», РФК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КанБайкал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Резорсез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Инк.»), финансовые средства будут направлены на реконструкцию и модернизацию производства, приобретение оборудования. 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Строительство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В 2013 году организациями всех форм собственности введено в эксплуатацию 10 зданий жилого назначения общей площадью  38,044 тыс. кв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етров, в том числе 9 зданий жилого назначения квартирного типа общей площадью 31,989 тыс.кв.метров, специальный дом для одиноких престарелых граждан на 100 мест общей площадью 2,634 кв.метра. В 2014 году планируется ввести 50,8 тыс.кв. метров. Удельный вес жилых домов построенных населением в 2014 году составит 11,22 %. Обеспеченность жилой площадью в среднем на 1 человека в 2013 году составила 15,5 кв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етров, в 2014 году - 15,8 кв.метров.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рамках реализации политики социально-экономического развития особую значимость приобретает задача формирования рынка доступного жилья. Ни один проект не может быть реализован без участия в нём строительной индустрии. Лидерами строительной индустрии города являются – ОФРЖС «Жилище», 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Обьстрой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Инвест-Строй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4. Потребительский рынок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Потребительский рынок продолжает оказывать влияние на поддержание общеэкономической динамики. В ответ на потребительские предпочтения и растущие требования к ассортименту,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 розничной торговли и платных услуг населению.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r w:rsidRPr="00A5720E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показатели торговли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а развитие инфраструктуры потребительского рынка существенное влияние оказывает конкуренция. Развиваются стандарты и технологии, связанные с сетевыми формами организации торгового обслуживания.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На территории муниципального образования обеспечивают население товарами и услугами: 474 магазинов торговой площадью 62,97 тыс.кв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етров, 26 оптовых предприятия, 1 городской рынок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lastRenderedPageBreak/>
        <w:t>на 901 рабочее место, 180 предприятий общественного питания на 9,1 тыс. посадочных мест, 353 объекта по оказанию различных видов услуг.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2013 году открыт 1 магазин торговой площадью 0,39 тыс.кв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етров,                5 предприятий общественного питания на 128 посадочных мест.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Обеспеченность торговыми площадями составила 490 кв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етров на 1тыс. жителей при норме 571 кв.метров, обеспеченность посадочными местами предприятий общественного питания открытой сети - 49 на 1тыс. жителей при нормативе 40.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На сегодняшний день 100 % предприятий сферы потребительского рынка представлены частным сектором.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Оборот розничной торговли по всем формам проявления торговли за 2013 год составил 19 735 млн. рублей.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По оценке в 2014 году - 21 274,55 млн. рублей, индекс физического объёма ожидается в размере 100,5%.  В 2015 году оборот розничной торговли увеличится до 22 423,37 млн. рублей, индекс физического объёма ожидается 98,5 %.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прогнозном периоде торговая сеть будет развиваться в направлении укрупнения и специализации непродовольственной торговли и совершенствования самообслуживания при торговле универсальным ассортиментом продовольственных товаров и товаров повседневного спроса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. В среднесрочной перспективе для организаций розничной торговли в целом будет складываться достаточно благоприятная конъюнктура.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2016-2017 годах прогнозируется рост оборота розничной торговли. В 2016 году оборот розничной торговли ожидается 23723,93 млн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ублей,   индекс физического объёма 101,8 %; в 2017 году оборот розничной торговли ожидается 25147,36 млн. рублей, индекс физического объёма 101,9 %.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С учётом нормативов минимальной обеспеченности торговыми площадями, в соответствии с законом о торговле, в городе Нефтеюганске утверждена схема размещения нестационарных объектов торговли. 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Платные услуги населению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Объем платных услуг населению за 2013 год составил 6 367,23 млн. рублей или 95,3 % в сопоставимых ценах к уровню предыдущего года. По оценке объём платных услуг населению за 2014 год составит 6 876,61 млн. рублей, что составит 100,6% в сопоставимых ценах в сравнении с предыдущим годом.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прогнозный период 2015-2017 гг. сохранится рост объёма платных услуг оказываемых населению. По прогнозу в 2016 года объем платных услуг населению ожидается 7821,11 млн. рублей, что составит 101,2 %, в 2017 году объем платных услуг ожидается 8407,69 млн. рублей, что составит 102,7 %.  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Стабильная динамика развития рынка платных услуг населению в среднесрочной перспективе будет происходить под влиянием факторов как рыночного, так и нерыночного характера. К рыночным факторам можно отнести рост доли предприятий частной и других негосударственных форм собственности, увеличение количества видов платных образовательных, медицинских услуг населению, развитие таких услуг рыночного характера, как услуги рекламы, правового характера, развитие малого и индивидуального предпринимательства.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Среди факторов нерыночного характера можно выделить государственное регулирование цен и тарифов на услуги естественных монополий и отдельных отраслей.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Предприятия, оказывающие услуги населению, уделяют особое внимание совершенствованию технологических процессов: использованию современных технологий, оборудования, качественных материалов, повышению квалификации персонала.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Малое и среднее предпринимательство 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В целях создания благоприятных условий для развития малого и среднего предпринимательства будет продолжена реализация мер поддержки предпринимательской инициативы в прогнозный период.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r w:rsidRPr="00A572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 инструментом в области развития малого и среднего бизнеса в городе Нефтеюганске является подпрограмма «Развитие малого и среднего предпринимательства» муниципальной программы «Социально-экономическое развитие города Нефтеюганска на 2014-2020 годы» - далее Подпрограмма.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В 2014 году на реализацию мероприятий подпрограммы III «Развитие малого и среднего предпринимательства» муниципальной программы «Социально-экономическое развитие города Нефтеюганска на 2014-2020 годы» выделено 6 089,0 тыс. рублей, в том числе: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- 2 589, 0 тыс. рублей – субсидия Ханты-Мансийского автономного округа - Югры на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  3 500, 0 тыс. рублей – средства бюджета города Нефтеюганска.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2013 году на реализацию мероприятий подпрограммы было выделено 5 264,8 тыс. рублей, в том числе: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-1 764,8 тыс. рублей – субсидия Ханты-Мансийского автономного округа - Югры на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-3 500,0 тыс. рублей – средства бюджета города Нефтеюганска.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Поддержка малого и среднего предпринимательства в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городе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через комплекс мер, предусматривающих предоставление финансовой, информационно-консультационной и образовательной поддержки.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 из направлений подпрограммы является установка надёжного и конструктивного диалога между органами власти и </w:t>
      </w:r>
      <w:proofErr w:type="spellStart"/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бизнес-структурами</w:t>
      </w:r>
      <w:proofErr w:type="spellEnd"/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, общая цель которых – осуществление дальнейших экономических преобразований и создание благоприятного режима для деятельности предприятий всех форм собственности.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этом направлении заключено пятистороннее соглашение о взаимном сотрудничестве и организации взаимоотношений между администрацией города Нефтеюганска и Фондом поддержки предпринимательства Югры, ООО «Окружной Бизнес-Инкубатор, Фондом содействия развитию инвестиций в субъекты малого и среднего предпринимательства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Югре, Фондом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целях поддержки субъектов малого и среднего предпринимательства в области подготовки, переподготовки и повышения квалификации кадров проведено 16 образовательных мероприятий для субъектов малого и среднего предпринимательства и начинающих предпринимателей. В семинарах приняли участие порядка 300 субъектов малого и среднего предпринимательства.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уровня правовой грамотности для субъектов малого и среднего предпринимательства и начинающих предпринимателей, для безработного населения, имеющего намерение открыть своё дело, администрацией города организовано и проведено 10 «круглых столов» по вопросам трудового, пенсионного, налогового законодательства Российской Федерации, по 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малого и среднего предпринимательства, создания в городе Нефтеюганске представительства  Торгово-промышленной палаты ХМАО – Югры и др..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целях повышения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роли малого и среднего предпринимательства в социальной и общественной жизни города сформирован новый состав Координационного совета по развитию малого и среднего предпринимательства при администрации города Нефтеюганска.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2013 году финансовая поддержка оказана 38 субъектам малого и среднего предпринимательства.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прогнозируемом периоде к 2017 году увеличится численности занятых в секторе малого и среднего предпринимательства до 12,67 тыс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еловек или на 7,37% (2013 год - 11,8 тыс.человек).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Агропромышленный комплекс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о состоянию на 01.01.2014 агропромышленный комплекс муниципального образования город Нефтеюганск представляют 38 сельхозпроизводителей, в том числе: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-11 личных подсобных хозяйств;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-3 индивидуальных предпринимателя и 23 крестьянских (фермерских) хозяйства, основным видом деятельности которых является животноводство (разведение крупного рогатого скота, лошадей, свиней, сельскохозяйственной птицы);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-1 индивидуальный предприниматель, занимающийся растениеводством.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Объём финансирования мероприятий за счёт средств автономного округа (в рамках реализации целевой программы Ханты-Мансийского автономного округа – Югры «Развитие агропромышленного комплекса, заготовки и переработки дикоросов Ханты-Мансийского автономного округа – Югры в 2011-2013 годах и на период до 2015 года») по муниципальному образованию город Нефтеюганск в 2013 году составил 38 338,7 тыс. рублей, из них направлено на: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животноводство –33 000,1 тыс. рублей;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-растениеводство –340,5 тыс. рублей;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>поддержка   развития малых форм хозяйствования (за исключением личных подсобных хозяйств) – 4 879,2 тыс. рублей;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-поддержка личных подсобных хозяйств – 118,9 тыс. рублей.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государственной программы «Развитие агропромышленного комплекса и рынков сельскохозяйственной продукции, сырья и продовольствия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 в 2014 - 2020 годах» на 2014 год запланировано выделение субвенции на поддержку животноводства, растениеводства, малых форм хозяйствования в размере 28 272,9 тыс. рублей.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6. Уровень жизни населения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Одним из основных макроэкономических показателей уровня жизни являются доходы населения. По итогам 2013 года среднедушевые доходы населения составили 27 181,50 рублей, в 2014 году ожидается увеличение на 2 800,80 рублей (на 10,2 %). К 2017 году прогнозируется прирост среднедушевого дохода населения на 21,2 %.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Прогнозируемая величина среднемесячной номинальной начисленной заработной платы на одного работника в 2014 году составит 40 638,5 рублей, что на 9,5 % превысит уровень 2013 года. К 2017 году прирост среднемесячной номинальной начисленной заработной платы на одного работника составит 14,8 %.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Одной из приоритетных задач администрации города является повышение уровня жизни населения. В Нефтеюганске эффективно работает межведомственная комиссия по проблемам оплаты труда, цель которой – снижение напряженности в социально-трудовой сфере, ликвидация задолженности выплат заработной платы, легализация так называемых «серых» заработных плат, из-за ниже установленного минимального уровня.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Комиссия продолжает практику проведения совместных проверок предприятий, организаций, частных предпринимателей города по проблемам оплаты труда, по результатам которых рекомендовано устранить выявленные нарушения, повысить размер заработной платы и довести ее до уровня не ниже прожиточного минимума, установленного в регионе и постепенно довести её до среднеотраслевого уровня.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Средний размер начисленной месячной пенсии в 2014 году достигнет 17 276,0 рублей, что на 12 % превысит уровень предыдущего года. За период с 2015 по 2017 год средний размер начисленной месячной пенсии увеличится на 5 576 рублей. 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7. Труд и занятость</w:t>
      </w:r>
      <w:r w:rsidRPr="00A57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Численность экономически активного населения в 2014 году составит 71,43 тыс. человек, из них занято в экономике города 56,30 тыс. человек.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r w:rsidRPr="00A572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Численность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в экономике имеет тенденцию к увеличению. В период с 2014 по 2017 годы их число прирастет на 0,4 %.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Наиболее востребованными останутся рабочие профессии для топливно-энергетического комплекса, отрасли «строительство», а также отраслей, требующих высокой квалификации специалистов, и связанные с использованием интеллектуального потенциала людей. Ожидается, что в перспективе создание новых рабочих мест наиболее интенсивно будет проходить на частных предприятиях обрабатывающих производств, сельского хозяйства, торговли и в сфере предоставления различных видов услуг.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В 2014 году сохраняется благоприятная обстановка на рынке труда.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Город Нефтеюганск – один из городов Югры с наименьшим уровнем безработицы. По данным БУ «Нефтеюганский Центр занятости населения» уровнем безработицы по итогам 2014 года составит 0,11%.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Большое значение в реализации государственной политики занятости имеет профессиональное обучение безработных граждан, являющееся одним из способов их трудоустройства. Кроме того, широко используются возможности организации общественных работ.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В Нефтеюганске реализуются мероприятия целевой программы Ханты-Мансийского автономного округа – Югры «Содействие занятости населения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Югре на 2014-2020 годы», направленные на стабилизацию ситуации на рынке труда.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Мероприятия в рамках программы:</w:t>
      </w:r>
    </w:p>
    <w:p w:rsidR="00A5720E" w:rsidRPr="00A5720E" w:rsidRDefault="00A5720E" w:rsidP="00A572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временное трудоустройство несовершеннолетних граждан 14-18 лет,</w:t>
      </w:r>
    </w:p>
    <w:p w:rsidR="00A5720E" w:rsidRPr="00A5720E" w:rsidRDefault="00A5720E" w:rsidP="00A572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   работников, находящихся под угрозой увольнения,</w:t>
      </w:r>
    </w:p>
    <w:p w:rsidR="00A5720E" w:rsidRPr="00A5720E" w:rsidRDefault="00A5720E" w:rsidP="00A572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содействие  в трудоустройстве незанятым трудовой деятельностью гражданам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и пенсионного возраста,</w:t>
      </w:r>
    </w:p>
    <w:p w:rsidR="00A5720E" w:rsidRPr="00A5720E" w:rsidRDefault="00A5720E" w:rsidP="00A572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профессиональной подготовки, переподготовки и повышения квалификации граждан </w:t>
      </w:r>
      <w:proofErr w:type="spellStart"/>
      <w:r w:rsidRPr="00A5720E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и пенсионного возраста, желающих вернуться к трудовой деятельности, </w:t>
      </w:r>
    </w:p>
    <w:p w:rsidR="00A5720E" w:rsidRPr="00A5720E" w:rsidRDefault="00A5720E" w:rsidP="00A572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обучения  безработных граждан навыкам предпринимательской деятельности, </w:t>
      </w:r>
    </w:p>
    <w:p w:rsidR="00A5720E" w:rsidRPr="00A5720E" w:rsidRDefault="00A5720E" w:rsidP="00A5720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создание постоянных  рабочих мест,  в том числе на дому, для одиноких родителей, родителей воспитывающих детей-инвалидов, и многодетных родителей.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В прогнозном периоде в целях обеспечения сбалансированности рынка труда и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предприятий и организаций, органов местного самоуправления и образовательных учреждений.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8. Демография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Прогноз перспективной численности населения города Нефтеюганска основывается на тенденциях демографического развития с учетом принятых решений, которые уже оказывают влияние на рост показателей рождаемости и снижение уровня смертности.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Уровень рождаемости населения города во многом зависит от количества женщин фертильного возраста, число которых в ближайшее время, как ожидается, будет снижаться. При этом механическое движение населения подвержено колебаниям в зависимости от экономической ситуации.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 2014 году прогнозируется увеличение среднегодовой численности постоянного населения Нефтеюганска до 125,90 тыс. человек, в 2017 году достигнет 126,27 тыс. человек, увеличившись к уровню 2014 года на 0,37 тыс. человек или на 0,29 %.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Естественный прирост населения в 2014 году составит 1 266 человек (коэффициент естественного прироста – 10,06 промилле). За период 2015-2017 годов естественный прирост населения составит 3 784 человек. 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</w:r>
      <w:r w:rsidRPr="00A572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2012 года зафиксировано превышение числа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выбывших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над числом прибывших в город. По оценке 2014 года миграционный отток достигнет 1 160 человек. В прогнозируемом периоде ожидается стабилизация ситуации и сокращение миграционного оттока до 580 человек в год.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Наиболее вероятными причинами наметившегося оттока населения являются: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усиление государственного контроля в сфере миграционных отношений, выявления и пресечения нарушений миграционного законодательства;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сокращение квоты на привлечение иностранной рабочей силы и замещение местными трудовыми ресурсами;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усовершенствование системы дополнительного пенсионного обеспечения и изменение требований и условий для назначения и выплаты дополнительной пенсии в Югре.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Высокая доля молодежи среди </w:t>
      </w:r>
      <w:proofErr w:type="gramStart"/>
      <w:r w:rsidRPr="00A5720E">
        <w:rPr>
          <w:rFonts w:ascii="Times New Roman" w:eastAsia="Times New Roman" w:hAnsi="Times New Roman" w:cs="Times New Roman"/>
          <w:sz w:val="24"/>
          <w:szCs w:val="24"/>
        </w:rPr>
        <w:t>выбывающих</w:t>
      </w:r>
      <w:proofErr w:type="gramEnd"/>
      <w:r w:rsidRPr="00A5720E">
        <w:rPr>
          <w:rFonts w:ascii="Times New Roman" w:eastAsia="Times New Roman" w:hAnsi="Times New Roman" w:cs="Times New Roman"/>
          <w:sz w:val="24"/>
          <w:szCs w:val="24"/>
        </w:rPr>
        <w:t xml:space="preserve"> объясняется недостаточным уровнем развития социальной инфраструктуры, уезжая для получения образования в большие города, молодежь старается остаться.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миграционный отток населения обусловлен климатическими условиями и более высоким уровнем жизни в других районах России. Основная часть выбывающего населения переезжает на постоянное место жительство в Приволжский федеральный округ и Тюменскую область. 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9. Перечень основных проблемных вопросов развития региона, сдерживающих его социально-экономическое развитие</w:t>
      </w:r>
    </w:p>
    <w:p w:rsidR="00A5720E" w:rsidRPr="00A5720E" w:rsidRDefault="00A5720E" w:rsidP="00A57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sz w:val="24"/>
          <w:szCs w:val="24"/>
        </w:rPr>
        <w:t>На социально-экономическое развитие города Нефтеюганска оказывают влияние следующие факторы - риски: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рост численности населения младше трудоспособного возраста;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старение населения города;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миграционный отток населения города;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- несоответствие темпов развития Нефтеюганска крупным городам Ханты-Мансийского автономного округа - Югры.</w:t>
      </w:r>
      <w:r w:rsidRPr="00A5720E">
        <w:rPr>
          <w:rFonts w:ascii="Times New Roman" w:eastAsia="Times New Roman" w:hAnsi="Times New Roman" w:cs="Times New Roman"/>
          <w:sz w:val="24"/>
          <w:szCs w:val="24"/>
        </w:rPr>
        <w:br/>
        <w:t>Все перечисленные риски в совокупности складываются в риск снижения конкурентоспособности Нефтеюганска на рынке капиталов, новых проектов и мобильных кадров, обладающих современными ключевыми компетенциями.</w:t>
      </w:r>
    </w:p>
    <w:p w:rsidR="00A5720E" w:rsidRPr="00A5720E" w:rsidRDefault="00A5720E" w:rsidP="00A572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директора</w:t>
      </w: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департамента по делам администрации</w:t>
      </w:r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A5720E">
        <w:rPr>
          <w:rFonts w:ascii="Times New Roman" w:eastAsia="Times New Roman" w:hAnsi="Times New Roman" w:cs="Times New Roman"/>
          <w:b/>
          <w:bCs/>
          <w:sz w:val="24"/>
          <w:szCs w:val="24"/>
        </w:rPr>
        <w:t>С.А.Шарабарина</w:t>
      </w:r>
      <w:proofErr w:type="spellEnd"/>
    </w:p>
    <w:p w:rsidR="00276447" w:rsidRDefault="00276447"/>
    <w:sectPr w:rsidR="00276447" w:rsidSect="00A572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335"/>
    <w:multiLevelType w:val="multilevel"/>
    <w:tmpl w:val="D084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460"/>
    <w:multiLevelType w:val="multilevel"/>
    <w:tmpl w:val="D39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D55E7"/>
    <w:multiLevelType w:val="multilevel"/>
    <w:tmpl w:val="A9D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B220D"/>
    <w:multiLevelType w:val="multilevel"/>
    <w:tmpl w:val="094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1F334E"/>
    <w:multiLevelType w:val="multilevel"/>
    <w:tmpl w:val="E40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10500"/>
    <w:multiLevelType w:val="multilevel"/>
    <w:tmpl w:val="229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92243"/>
    <w:multiLevelType w:val="multilevel"/>
    <w:tmpl w:val="72B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737F2"/>
    <w:multiLevelType w:val="multilevel"/>
    <w:tmpl w:val="D88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2F47FD"/>
    <w:multiLevelType w:val="multilevel"/>
    <w:tmpl w:val="D97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76EFA"/>
    <w:multiLevelType w:val="multilevel"/>
    <w:tmpl w:val="6E90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2B2C56"/>
    <w:multiLevelType w:val="multilevel"/>
    <w:tmpl w:val="1FB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6A5AFA"/>
    <w:multiLevelType w:val="multilevel"/>
    <w:tmpl w:val="C3B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A1599"/>
    <w:multiLevelType w:val="multilevel"/>
    <w:tmpl w:val="8F5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225CC3"/>
    <w:multiLevelType w:val="multilevel"/>
    <w:tmpl w:val="039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77152"/>
    <w:multiLevelType w:val="multilevel"/>
    <w:tmpl w:val="3CD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7E39DD"/>
    <w:multiLevelType w:val="multilevel"/>
    <w:tmpl w:val="0A7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BA3BA7"/>
    <w:multiLevelType w:val="multilevel"/>
    <w:tmpl w:val="7F2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36472"/>
    <w:multiLevelType w:val="multilevel"/>
    <w:tmpl w:val="5FB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F30865"/>
    <w:multiLevelType w:val="multilevel"/>
    <w:tmpl w:val="603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800E7D"/>
    <w:multiLevelType w:val="multilevel"/>
    <w:tmpl w:val="0C3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3C025B"/>
    <w:multiLevelType w:val="multilevel"/>
    <w:tmpl w:val="22A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11BEC"/>
    <w:multiLevelType w:val="multilevel"/>
    <w:tmpl w:val="B888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F4EE1"/>
    <w:multiLevelType w:val="multilevel"/>
    <w:tmpl w:val="913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C9137E"/>
    <w:multiLevelType w:val="multilevel"/>
    <w:tmpl w:val="F17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D5EDF"/>
    <w:multiLevelType w:val="multilevel"/>
    <w:tmpl w:val="BB8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217A4"/>
    <w:multiLevelType w:val="multilevel"/>
    <w:tmpl w:val="577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"/>
  </w:num>
  <w:num w:numId="5">
    <w:abstractNumId w:val="9"/>
  </w:num>
  <w:num w:numId="6">
    <w:abstractNumId w:val="17"/>
  </w:num>
  <w:num w:numId="7">
    <w:abstractNumId w:val="22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19"/>
  </w:num>
  <w:num w:numId="15">
    <w:abstractNumId w:val="14"/>
  </w:num>
  <w:num w:numId="16">
    <w:abstractNumId w:val="10"/>
  </w:num>
  <w:num w:numId="17">
    <w:abstractNumId w:val="0"/>
  </w:num>
  <w:num w:numId="18">
    <w:abstractNumId w:val="21"/>
  </w:num>
  <w:num w:numId="19">
    <w:abstractNumId w:val="8"/>
  </w:num>
  <w:num w:numId="20">
    <w:abstractNumId w:val="4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720E"/>
    <w:rsid w:val="00276447"/>
    <w:rsid w:val="00A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720E"/>
    <w:rPr>
      <w:b/>
      <w:bCs/>
    </w:rPr>
  </w:style>
  <w:style w:type="character" w:styleId="a5">
    <w:name w:val="Emphasis"/>
    <w:basedOn w:val="a0"/>
    <w:uiPriority w:val="20"/>
    <w:qFormat/>
    <w:rsid w:val="00A57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3835</Words>
  <Characters>21865</Characters>
  <Application>Microsoft Office Word</Application>
  <DocSecurity>0</DocSecurity>
  <Lines>182</Lines>
  <Paragraphs>51</Paragraphs>
  <ScaleCrop>false</ScaleCrop>
  <Company/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2</cp:revision>
  <dcterms:created xsi:type="dcterms:W3CDTF">2015-12-29T10:29:00Z</dcterms:created>
  <dcterms:modified xsi:type="dcterms:W3CDTF">2015-12-29T10:30:00Z</dcterms:modified>
</cp:coreProperties>
</file>