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C359CC" w:rsidRDefault="000738EF" w:rsidP="00B76994">
      <w:pPr>
        <w:widowControl w:val="0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t xml:space="preserve">О реализации национального проекта «Образование» </w:t>
      </w:r>
      <w:r w:rsidR="0009035E" w:rsidRPr="00C359CC">
        <w:rPr>
          <w:sz w:val="28"/>
          <w:szCs w:val="28"/>
        </w:rPr>
        <w:t>на 01.10</w:t>
      </w:r>
      <w:r w:rsidR="00270890" w:rsidRPr="00C359CC">
        <w:rPr>
          <w:sz w:val="28"/>
          <w:szCs w:val="28"/>
        </w:rPr>
        <w:t>.</w:t>
      </w:r>
      <w:r w:rsidRPr="00C359CC">
        <w:rPr>
          <w:sz w:val="28"/>
          <w:szCs w:val="28"/>
        </w:rPr>
        <w:t>202</w:t>
      </w:r>
      <w:r w:rsidR="00270890" w:rsidRPr="00C359CC">
        <w:rPr>
          <w:sz w:val="28"/>
          <w:szCs w:val="28"/>
        </w:rPr>
        <w:t>2</w:t>
      </w:r>
    </w:p>
    <w:p w:rsidR="005320BE" w:rsidRPr="00C359CC" w:rsidRDefault="005320BE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C359CC" w:rsidRDefault="000738EF" w:rsidP="00B76994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</w:t>
      </w:r>
      <w:r w:rsidR="00383AC1" w:rsidRPr="00C359CC">
        <w:rPr>
          <w:rFonts w:eastAsia="Calibri"/>
          <w:sz w:val="28"/>
          <w:szCs w:val="28"/>
          <w:lang w:eastAsia="en-US"/>
        </w:rPr>
        <w:t>иональной</w:t>
      </w:r>
      <w:r w:rsidRPr="00C359CC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Проекты):</w:t>
      </w:r>
      <w:proofErr w:type="gramEnd"/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-«Современная школа»;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-«Успех каждого ребёнка»;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-«Социальная активность»;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-«Патриотическое воспитание</w:t>
      </w:r>
      <w:r w:rsidR="00E86353" w:rsidRPr="00C359CC">
        <w:rPr>
          <w:rFonts w:eastAsia="Calibri"/>
          <w:sz w:val="28"/>
          <w:szCs w:val="28"/>
        </w:rPr>
        <w:t xml:space="preserve"> граждан Российской Федерации</w:t>
      </w:r>
      <w:r w:rsidRPr="00C359CC">
        <w:rPr>
          <w:rFonts w:eastAsia="Calibri"/>
          <w:sz w:val="28"/>
          <w:szCs w:val="28"/>
        </w:rPr>
        <w:t>»;</w:t>
      </w:r>
    </w:p>
    <w:p w:rsidR="000738EF" w:rsidRPr="00C359CC" w:rsidRDefault="000738EF" w:rsidP="00B7699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Pr="00C359CC" w:rsidRDefault="000C77F2" w:rsidP="00B76994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C359CC" w:rsidRDefault="000738EF" w:rsidP="00B76994">
      <w:pPr>
        <w:widowControl w:val="0"/>
        <w:ind w:firstLine="709"/>
        <w:jc w:val="both"/>
        <w:rPr>
          <w:b/>
          <w:sz w:val="28"/>
          <w:szCs w:val="28"/>
        </w:rPr>
      </w:pPr>
      <w:r w:rsidRPr="00C359CC">
        <w:rPr>
          <w:b/>
          <w:sz w:val="28"/>
          <w:szCs w:val="28"/>
        </w:rPr>
        <w:t>Национальный проект «Образование»</w:t>
      </w:r>
    </w:p>
    <w:p w:rsidR="000738EF" w:rsidRPr="00C359CC" w:rsidRDefault="000738EF" w:rsidP="00B76994">
      <w:pPr>
        <w:widowControl w:val="0"/>
        <w:ind w:firstLine="709"/>
        <w:jc w:val="both"/>
        <w:rPr>
          <w:i/>
          <w:sz w:val="28"/>
          <w:szCs w:val="28"/>
        </w:rPr>
      </w:pPr>
      <w:r w:rsidRPr="00C359CC">
        <w:rPr>
          <w:i/>
          <w:sz w:val="28"/>
          <w:szCs w:val="28"/>
        </w:rPr>
        <w:t>Региональный проект «Современная школа»</w:t>
      </w:r>
    </w:p>
    <w:p w:rsidR="00765D16" w:rsidRPr="00C359CC" w:rsidRDefault="00765D16" w:rsidP="00B76994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59CC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C359CC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C359CC">
        <w:rPr>
          <w:rFonts w:eastAsia="Calibri"/>
          <w:sz w:val="28"/>
          <w:szCs w:val="28"/>
        </w:rPr>
        <w:t xml:space="preserve">. </w:t>
      </w:r>
      <w:proofErr w:type="gramEnd"/>
    </w:p>
    <w:p w:rsidR="00765D16" w:rsidRPr="003B10F0" w:rsidRDefault="00765D16" w:rsidP="00B7699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rFonts w:eastAsia="Calibri"/>
          <w:sz w:val="28"/>
          <w:szCs w:val="28"/>
        </w:rPr>
        <w:t>Д</w:t>
      </w:r>
      <w:r w:rsidRPr="00C359CC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C359CC">
        <w:rPr>
          <w:color w:val="000000" w:themeColor="text1"/>
          <w:sz w:val="28"/>
          <w:szCs w:val="28"/>
        </w:rPr>
        <w:t>в</w:t>
      </w:r>
      <w:proofErr w:type="gramEnd"/>
      <w:r w:rsidRPr="00C359CC">
        <w:rPr>
          <w:color w:val="000000" w:themeColor="text1"/>
          <w:sz w:val="28"/>
          <w:szCs w:val="28"/>
        </w:rPr>
        <w:t>:</w:t>
      </w:r>
    </w:p>
    <w:p w:rsidR="003B10F0" w:rsidRPr="003B10F0" w:rsidRDefault="003B10F0" w:rsidP="003B10F0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>-региональной оценке по модели «PISA»;</w:t>
      </w:r>
    </w:p>
    <w:p w:rsidR="00765D16" w:rsidRPr="003B10F0" w:rsidRDefault="00765D16" w:rsidP="00B7699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 xml:space="preserve">-всероссийских проверочных </w:t>
      </w:r>
      <w:proofErr w:type="gramStart"/>
      <w:r w:rsidRPr="003B10F0">
        <w:rPr>
          <w:color w:val="000000" w:themeColor="text1"/>
          <w:sz w:val="28"/>
          <w:szCs w:val="28"/>
        </w:rPr>
        <w:t>работах</w:t>
      </w:r>
      <w:proofErr w:type="gramEnd"/>
      <w:r w:rsidRPr="003B10F0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765D16" w:rsidRPr="00C359CC" w:rsidRDefault="00765D16" w:rsidP="00B76994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3B10F0">
        <w:rPr>
          <w:color w:val="000000" w:themeColor="text1"/>
          <w:sz w:val="28"/>
          <w:szCs w:val="28"/>
        </w:rPr>
        <w:t>-</w:t>
      </w:r>
      <w:proofErr w:type="gramStart"/>
      <w:r w:rsidRPr="003B10F0">
        <w:rPr>
          <w:color w:val="000000" w:themeColor="text1"/>
          <w:sz w:val="28"/>
          <w:szCs w:val="28"/>
        </w:rPr>
        <w:t>мониторинге</w:t>
      </w:r>
      <w:proofErr w:type="gramEnd"/>
      <w:r w:rsidRPr="003B10F0">
        <w:rPr>
          <w:color w:val="000000" w:themeColor="text1"/>
          <w:sz w:val="28"/>
          <w:szCs w:val="28"/>
        </w:rPr>
        <w:t xml:space="preserve"> функциональной</w:t>
      </w:r>
      <w:r w:rsidRPr="00C359CC">
        <w:rPr>
          <w:sz w:val="28"/>
          <w:szCs w:val="28"/>
        </w:rPr>
        <w:t xml:space="preserve"> грамотности; </w:t>
      </w:r>
    </w:p>
    <w:p w:rsidR="003A076D" w:rsidRPr="00C359CC" w:rsidRDefault="00765D16" w:rsidP="003A076D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359CC">
        <w:rPr>
          <w:sz w:val="28"/>
          <w:szCs w:val="28"/>
        </w:rPr>
        <w:t>-репетиционных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CF3C59" w:rsidRPr="00C359CC" w:rsidRDefault="003A076D" w:rsidP="003A076D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sz w:val="28"/>
          <w:szCs w:val="28"/>
        </w:rPr>
        <w:t>В 2022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</w:t>
      </w:r>
      <w:r w:rsidR="00436AED" w:rsidRPr="00C359CC">
        <w:rPr>
          <w:sz w:val="28"/>
          <w:szCs w:val="28"/>
        </w:rPr>
        <w:t>8</w:t>
      </w:r>
      <w:r w:rsidRPr="00C359CC">
        <w:rPr>
          <w:sz w:val="28"/>
          <w:szCs w:val="28"/>
        </w:rPr>
        <w:t xml:space="preserve"> ед. (</w:t>
      </w:r>
      <w:r w:rsidR="00436AED" w:rsidRPr="00C359CC">
        <w:rPr>
          <w:sz w:val="28"/>
          <w:szCs w:val="28"/>
        </w:rPr>
        <w:t>план 2022</w:t>
      </w:r>
      <w:r w:rsidRPr="00C359CC">
        <w:rPr>
          <w:sz w:val="28"/>
          <w:szCs w:val="28"/>
        </w:rPr>
        <w:t xml:space="preserve"> г. </w:t>
      </w:r>
      <w:r w:rsidR="00B131B3" w:rsidRPr="00C359CC">
        <w:rPr>
          <w:sz w:val="28"/>
          <w:szCs w:val="28"/>
        </w:rPr>
        <w:t xml:space="preserve">- </w:t>
      </w:r>
      <w:r w:rsidRPr="00C359CC">
        <w:rPr>
          <w:sz w:val="28"/>
          <w:szCs w:val="28"/>
        </w:rPr>
        <w:t>1,</w:t>
      </w:r>
      <w:r w:rsidR="00436AED" w:rsidRPr="00C359CC">
        <w:rPr>
          <w:sz w:val="28"/>
          <w:szCs w:val="28"/>
        </w:rPr>
        <w:t>37</w:t>
      </w:r>
      <w:r w:rsidRPr="00C359CC">
        <w:rPr>
          <w:sz w:val="28"/>
          <w:szCs w:val="28"/>
        </w:rPr>
        <w:t xml:space="preserve"> ед.).</w:t>
      </w:r>
      <w:r w:rsidR="006213B9" w:rsidRPr="00C359CC">
        <w:rPr>
          <w:sz w:val="28"/>
          <w:szCs w:val="28"/>
        </w:rPr>
        <w:t xml:space="preserve"> Для обеспечения указанного</w:t>
      </w:r>
      <w:r w:rsidRPr="00C359CC">
        <w:rPr>
          <w:sz w:val="28"/>
          <w:szCs w:val="28"/>
        </w:rPr>
        <w:t xml:space="preserve"> результат</w:t>
      </w:r>
      <w:r w:rsidR="006213B9" w:rsidRPr="00C359CC">
        <w:rPr>
          <w:sz w:val="28"/>
          <w:szCs w:val="28"/>
        </w:rPr>
        <w:t>а</w:t>
      </w:r>
      <w:r w:rsidRPr="00C359CC">
        <w:rPr>
          <w:sz w:val="28"/>
          <w:szCs w:val="28"/>
        </w:rPr>
        <w:t xml:space="preserve"> п</w:t>
      </w:r>
      <w:r w:rsidR="008077DE" w:rsidRPr="00C359CC">
        <w:rPr>
          <w:sz w:val="28"/>
          <w:szCs w:val="28"/>
        </w:rPr>
        <w:t xml:space="preserve">роведены </w:t>
      </w:r>
      <w:r w:rsidR="00765D16" w:rsidRPr="00C359CC">
        <w:rPr>
          <w:sz w:val="28"/>
          <w:szCs w:val="28"/>
        </w:rPr>
        <w:t>репетиционны</w:t>
      </w:r>
      <w:r w:rsidR="008077DE" w:rsidRPr="00C359CC">
        <w:rPr>
          <w:sz w:val="28"/>
          <w:szCs w:val="28"/>
        </w:rPr>
        <w:t>е</w:t>
      </w:r>
      <w:r w:rsidR="00765D16" w:rsidRPr="00C359CC">
        <w:rPr>
          <w:sz w:val="28"/>
          <w:szCs w:val="28"/>
        </w:rPr>
        <w:t xml:space="preserve"> экзамен</w:t>
      </w:r>
      <w:r w:rsidR="008077DE" w:rsidRPr="00C359CC">
        <w:rPr>
          <w:sz w:val="28"/>
          <w:szCs w:val="28"/>
        </w:rPr>
        <w:t>ы</w:t>
      </w:r>
      <w:r w:rsidR="00765D16" w:rsidRPr="00C359CC">
        <w:rPr>
          <w:sz w:val="28"/>
          <w:szCs w:val="28"/>
        </w:rPr>
        <w:t>, как</w:t>
      </w:r>
      <w:r w:rsidR="00765D16" w:rsidRPr="00C359CC">
        <w:rPr>
          <w:rFonts w:eastAsia="Calibri"/>
          <w:bCs/>
          <w:sz w:val="28"/>
          <w:szCs w:val="28"/>
        </w:rPr>
        <w:t xml:space="preserve"> на базе общеобразовательных организаций,</w:t>
      </w:r>
      <w:bookmarkStart w:id="0" w:name="_GoBack"/>
      <w:bookmarkEnd w:id="0"/>
      <w:r w:rsidR="00765D16" w:rsidRPr="00C359CC">
        <w:rPr>
          <w:rFonts w:eastAsia="Calibri"/>
          <w:bCs/>
          <w:sz w:val="28"/>
          <w:szCs w:val="28"/>
        </w:rPr>
        <w:t xml:space="preserve"> так и с выходом в пункты проведения экзамена, с последующим анализом результатов и принятием на основе </w:t>
      </w:r>
      <w:r w:rsidR="00765D16" w:rsidRPr="00C359CC">
        <w:rPr>
          <w:rFonts w:eastAsia="Calibri"/>
          <w:bCs/>
          <w:sz w:val="28"/>
          <w:szCs w:val="28"/>
        </w:rPr>
        <w:lastRenderedPageBreak/>
        <w:t>проведенного анализа управленческий решений, нацеленных на повышение уровня качества подготовки обучающихся.</w:t>
      </w:r>
      <w:r w:rsidRPr="00C359CC">
        <w:rPr>
          <w:rFonts w:eastAsia="Calibri"/>
          <w:bCs/>
          <w:sz w:val="28"/>
          <w:szCs w:val="28"/>
        </w:rPr>
        <w:t xml:space="preserve"> </w:t>
      </w:r>
    </w:p>
    <w:p w:rsidR="008077DE" w:rsidRPr="00C359CC" w:rsidRDefault="008077D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bidi="hi-IN"/>
        </w:rPr>
      </w:pPr>
      <w:proofErr w:type="gramStart"/>
      <w:r w:rsidRPr="00C359CC">
        <w:rPr>
          <w:rFonts w:eastAsia="Calibri"/>
          <w:sz w:val="28"/>
          <w:szCs w:val="28"/>
          <w:lang w:bidi="hi-IN"/>
        </w:rPr>
        <w:t>По итог</w:t>
      </w:r>
      <w:r w:rsidR="003A076D" w:rsidRPr="00C359CC">
        <w:rPr>
          <w:rFonts w:eastAsia="Calibri"/>
          <w:sz w:val="28"/>
          <w:szCs w:val="28"/>
          <w:lang w:bidi="hi-IN"/>
        </w:rPr>
        <w:t>ам сдачи ЕГЭ в основной период 9</w:t>
      </w:r>
      <w:r w:rsidRPr="00C359CC">
        <w:rPr>
          <w:rFonts w:eastAsia="Calibri"/>
          <w:sz w:val="28"/>
          <w:szCs w:val="28"/>
          <w:lang w:bidi="hi-IN"/>
        </w:rPr>
        <w:t xml:space="preserve"> выпускников 11-х классов (МБОУ «СОШ № 2 им. А.И.Исаевой», МБОУ «СОШ № 3 </w:t>
      </w:r>
      <w:proofErr w:type="spellStart"/>
      <w:r w:rsidRPr="00C359CC">
        <w:rPr>
          <w:rFonts w:eastAsia="Calibri"/>
          <w:sz w:val="28"/>
          <w:szCs w:val="28"/>
          <w:lang w:bidi="hi-IN"/>
        </w:rPr>
        <w:t>им.А.А.Ивасенко</w:t>
      </w:r>
      <w:proofErr w:type="spellEnd"/>
      <w:r w:rsidRPr="00C359CC">
        <w:rPr>
          <w:rFonts w:eastAsia="Calibri"/>
          <w:sz w:val="28"/>
          <w:szCs w:val="28"/>
          <w:lang w:bidi="hi-IN"/>
        </w:rPr>
        <w:t>», МБОУ «СОШ № 5 «Многопрофильная», МБОУ «СОШ № 8», МБОУ «СОШ № 10», ЧОУ «</w:t>
      </w:r>
      <w:proofErr w:type="spellStart"/>
      <w:r w:rsidRPr="00C359CC">
        <w:rPr>
          <w:rFonts w:eastAsia="Calibri"/>
          <w:sz w:val="28"/>
          <w:szCs w:val="28"/>
          <w:lang w:bidi="hi-IN"/>
        </w:rPr>
        <w:t>Нефтеюганская</w:t>
      </w:r>
      <w:proofErr w:type="spellEnd"/>
      <w:r w:rsidRPr="00C359CC">
        <w:rPr>
          <w:rFonts w:eastAsia="Calibri"/>
          <w:sz w:val="28"/>
          <w:szCs w:val="28"/>
          <w:lang w:bidi="hi-IN"/>
        </w:rPr>
        <w:t xml:space="preserve"> православная гимназия») получили максимальный результат 100 баллов по учебным предметам «химия», «литература», «русский язык», «физика», </w:t>
      </w:r>
      <w:r w:rsidR="003A076D" w:rsidRPr="00C359CC">
        <w:rPr>
          <w:rFonts w:eastAsia="Calibri"/>
          <w:sz w:val="28"/>
          <w:szCs w:val="28"/>
          <w:lang w:bidi="hi-IN"/>
        </w:rPr>
        <w:t xml:space="preserve">«обществознание», </w:t>
      </w:r>
      <w:r w:rsidRPr="00C359CC">
        <w:rPr>
          <w:rFonts w:eastAsia="Calibri"/>
          <w:sz w:val="28"/>
          <w:szCs w:val="28"/>
          <w:lang w:bidi="hi-IN"/>
        </w:rPr>
        <w:t>из них один учащийся МБОУ «СОШ № 5</w:t>
      </w:r>
      <w:proofErr w:type="gramEnd"/>
      <w:r w:rsidRPr="00C359CC">
        <w:rPr>
          <w:rFonts w:eastAsia="Calibri"/>
          <w:sz w:val="28"/>
          <w:szCs w:val="28"/>
          <w:lang w:bidi="hi-IN"/>
        </w:rPr>
        <w:t xml:space="preserve"> «Многопрофильная» - максимальный результат 200 баллов по учебным предметам «русский язык» и «физика».</w:t>
      </w:r>
      <w:r w:rsidR="003A076D" w:rsidRPr="00C359CC">
        <w:rPr>
          <w:rFonts w:eastAsia="Calibri"/>
          <w:sz w:val="28"/>
          <w:szCs w:val="28"/>
          <w:lang w:bidi="hi-IN"/>
        </w:rPr>
        <w:t xml:space="preserve"> 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проведён м</w:t>
      </w:r>
      <w:r w:rsidRPr="00C359CC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C359CC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C359CC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им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.И</w:t>
      </w:r>
      <w:proofErr w:type="gramEnd"/>
      <w:r w:rsidRPr="00C359CC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BB06B4" w:rsidRPr="00C359CC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сентября 2022 года (далее – ФГОС НОО </w:t>
      </w:r>
      <w:proofErr w:type="gramStart"/>
      <w:r w:rsidRPr="00C359CC">
        <w:rPr>
          <w:sz w:val="28"/>
          <w:szCs w:val="28"/>
        </w:rPr>
        <w:t>и ООО</w:t>
      </w:r>
      <w:proofErr w:type="gramEnd"/>
      <w:r w:rsidRPr="00C359CC">
        <w:rPr>
          <w:sz w:val="28"/>
          <w:szCs w:val="28"/>
        </w:rPr>
        <w:t xml:space="preserve">). </w:t>
      </w:r>
      <w:proofErr w:type="gramStart"/>
      <w:r w:rsidRPr="00C359CC">
        <w:rPr>
          <w:sz w:val="28"/>
          <w:szCs w:val="28"/>
        </w:rPr>
        <w:t xml:space="preserve">Разработан муниципальный план мероприятий, организованы: региональная апробация примерных рабочих программ НОО и ООО на базе МБОУ «СОШ № 3 им. </w:t>
      </w:r>
      <w:proofErr w:type="spellStart"/>
      <w:r w:rsidRPr="00C359CC">
        <w:rPr>
          <w:sz w:val="28"/>
          <w:szCs w:val="28"/>
        </w:rPr>
        <w:t>А.А.Ивасенко</w:t>
      </w:r>
      <w:proofErr w:type="spellEnd"/>
      <w:r w:rsidRPr="00C359CC">
        <w:rPr>
          <w:sz w:val="28"/>
          <w:szCs w:val="28"/>
        </w:rPr>
        <w:t xml:space="preserve">», повышение квалификации 238 педагогических работников, разрабатывающих и реализующих основные образовательные программы НОО и ООО, представлен опыт успешных практик учителей МБОУ «СОШ №2 </w:t>
      </w:r>
      <w:proofErr w:type="spellStart"/>
      <w:r w:rsidRPr="00C359CC">
        <w:rPr>
          <w:sz w:val="28"/>
          <w:szCs w:val="28"/>
        </w:rPr>
        <w:t>им.А.И.Исаевой</w:t>
      </w:r>
      <w:proofErr w:type="spellEnd"/>
      <w:r w:rsidRPr="00C359CC">
        <w:rPr>
          <w:sz w:val="28"/>
          <w:szCs w:val="28"/>
        </w:rPr>
        <w:t>», МБОУ «Начальная школа № 15», МБОУ «СОКШ №4» по разработке рабочих программ.</w:t>
      </w:r>
      <w:r w:rsidR="003A076D" w:rsidRPr="00C359CC">
        <w:rPr>
          <w:sz w:val="28"/>
          <w:szCs w:val="28"/>
        </w:rPr>
        <w:t xml:space="preserve"> </w:t>
      </w:r>
      <w:proofErr w:type="gramEnd"/>
    </w:p>
    <w:p w:rsidR="00BB06B4" w:rsidRPr="00C359CC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C359CC">
        <w:rPr>
          <w:sz w:val="28"/>
          <w:szCs w:val="28"/>
        </w:rPr>
        <w:t xml:space="preserve">МБОУ «Начальная школа № 15» МБОУ «Школа развития № 24» определены региональными </w:t>
      </w:r>
      <w:proofErr w:type="spellStart"/>
      <w:r w:rsidRPr="00C359CC">
        <w:rPr>
          <w:sz w:val="28"/>
          <w:szCs w:val="28"/>
        </w:rPr>
        <w:t>стажировочными</w:t>
      </w:r>
      <w:proofErr w:type="spellEnd"/>
      <w:r w:rsidRPr="00C359CC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BB06B4" w:rsidRPr="00C359CC" w:rsidRDefault="00BB06B4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округа. Кроме этого, 19 педагогических работников вошли в состав экспертного сообщества ХМАО - </w:t>
      </w:r>
      <w:proofErr w:type="spellStart"/>
      <w:r w:rsidRPr="00C359CC">
        <w:rPr>
          <w:sz w:val="28"/>
          <w:szCs w:val="28"/>
        </w:rPr>
        <w:t>Югры</w:t>
      </w:r>
      <w:proofErr w:type="spellEnd"/>
      <w:r w:rsidRPr="00C359CC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C359CC">
        <w:rPr>
          <w:sz w:val="28"/>
          <w:szCs w:val="28"/>
        </w:rPr>
        <w:t>тьюторами</w:t>
      </w:r>
      <w:proofErr w:type="spellEnd"/>
      <w:r w:rsidRPr="00C359CC">
        <w:rPr>
          <w:sz w:val="28"/>
          <w:szCs w:val="28"/>
        </w:rPr>
        <w:t xml:space="preserve"> в рамках </w:t>
      </w:r>
      <w:proofErr w:type="gramStart"/>
      <w:r w:rsidRPr="00C359CC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C359CC">
        <w:rPr>
          <w:sz w:val="28"/>
          <w:szCs w:val="28"/>
        </w:rPr>
        <w:t xml:space="preserve"> </w:t>
      </w:r>
      <w:proofErr w:type="spellStart"/>
      <w:r w:rsidRPr="00C359CC">
        <w:rPr>
          <w:sz w:val="28"/>
          <w:szCs w:val="28"/>
        </w:rPr>
        <w:t>ХМАО-Югры</w:t>
      </w:r>
      <w:proofErr w:type="spellEnd"/>
      <w:r w:rsidRPr="00C359CC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lastRenderedPageBreak/>
        <w:t xml:space="preserve">10% учащихся общеобразовательных организаций охвачены программами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</w:t>
      </w:r>
      <w:r w:rsidR="00CF3C59" w:rsidRPr="00C359CC">
        <w:rPr>
          <w:rFonts w:eastAsia="Calibri"/>
          <w:sz w:val="28"/>
          <w:szCs w:val="28"/>
          <w:lang w:eastAsia="en-US"/>
        </w:rPr>
        <w:t xml:space="preserve">политики в городе Нефтеюганске» </w:t>
      </w:r>
      <w:r w:rsidRPr="00C359CC">
        <w:rPr>
          <w:rFonts w:eastAsia="Calibri"/>
          <w:sz w:val="28"/>
          <w:szCs w:val="28"/>
          <w:lang w:eastAsia="en-US"/>
        </w:rPr>
        <w:t>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.Н</w:t>
      </w:r>
      <w:proofErr w:type="gramEnd"/>
      <w:r w:rsidRPr="00C359CC">
        <w:rPr>
          <w:rFonts w:eastAsia="Calibri"/>
          <w:sz w:val="28"/>
          <w:szCs w:val="28"/>
          <w:lang w:eastAsia="en-US"/>
        </w:rPr>
        <w:t>ефтеюганска (общеобразовательная организация с углубленным изучением отдельных предметов с унив</w:t>
      </w:r>
      <w:r w:rsidR="00CF3C59" w:rsidRPr="00C359CC">
        <w:rPr>
          <w:rFonts w:eastAsia="Calibri"/>
          <w:sz w:val="28"/>
          <w:szCs w:val="28"/>
          <w:lang w:eastAsia="en-US"/>
        </w:rPr>
        <w:t xml:space="preserve">ерсальной </w:t>
      </w:r>
      <w:proofErr w:type="spellStart"/>
      <w:r w:rsidR="00CF3C59" w:rsidRPr="00C359CC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="00CF3C59" w:rsidRPr="00C359CC">
        <w:rPr>
          <w:rFonts w:eastAsia="Calibri"/>
          <w:sz w:val="28"/>
          <w:szCs w:val="28"/>
          <w:lang w:eastAsia="en-US"/>
        </w:rPr>
        <w:t xml:space="preserve"> средой)»</w:t>
      </w:r>
      <w:r w:rsidRPr="00C359CC">
        <w:rPr>
          <w:rFonts w:eastAsia="Calibri"/>
          <w:sz w:val="28"/>
          <w:szCs w:val="28"/>
          <w:lang w:eastAsia="en-US"/>
        </w:rPr>
        <w:t>.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C359CC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</w:t>
      </w:r>
      <w:r w:rsidR="009A788E" w:rsidRPr="00C359CC">
        <w:rPr>
          <w:bCs/>
          <w:iCs/>
          <w:sz w:val="28"/>
          <w:szCs w:val="28"/>
        </w:rPr>
        <w:t xml:space="preserve">              </w:t>
      </w:r>
      <w:r w:rsidRPr="00C359CC">
        <w:rPr>
          <w:bCs/>
          <w:iCs/>
          <w:sz w:val="28"/>
          <w:szCs w:val="28"/>
        </w:rPr>
        <w:t>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C359CC">
        <w:rPr>
          <w:bCs/>
          <w:iCs/>
          <w:sz w:val="28"/>
          <w:szCs w:val="28"/>
        </w:rPr>
        <w:t xml:space="preserve"> </w:t>
      </w:r>
      <w:proofErr w:type="gramStart"/>
      <w:r w:rsidRPr="00C359CC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</w:t>
      </w:r>
      <w:r w:rsidR="00B131B3" w:rsidRPr="00C359CC">
        <w:rPr>
          <w:bCs/>
          <w:iCs/>
          <w:sz w:val="28"/>
          <w:szCs w:val="28"/>
        </w:rPr>
        <w:t xml:space="preserve">«Сердце отдаю детям», </w:t>
      </w:r>
      <w:r w:rsidRPr="00C359CC">
        <w:rPr>
          <w:bCs/>
          <w:iCs/>
          <w:sz w:val="28"/>
          <w:szCs w:val="28"/>
        </w:rPr>
        <w:t xml:space="preserve">региональном конкурсе «Учитель будущего ХМАО -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 «Педагог-новатор»  и т.д.).</w:t>
      </w:r>
      <w:proofErr w:type="gramEnd"/>
      <w:r w:rsidR="005E649B" w:rsidRPr="00C359CC">
        <w:rPr>
          <w:bCs/>
          <w:iCs/>
          <w:sz w:val="28"/>
          <w:szCs w:val="28"/>
        </w:rPr>
        <w:t xml:space="preserve"> </w:t>
      </w:r>
      <w:r w:rsidR="00270890" w:rsidRPr="00C359CC">
        <w:rPr>
          <w:bCs/>
          <w:iCs/>
          <w:sz w:val="28"/>
          <w:szCs w:val="28"/>
        </w:rPr>
        <w:t>В 2022 году планируется повышение квалификации не менее 0,6</w:t>
      </w:r>
      <w:r w:rsidR="005E649B" w:rsidRPr="00C359CC">
        <w:rPr>
          <w:bCs/>
          <w:iCs/>
          <w:sz w:val="28"/>
          <w:szCs w:val="28"/>
        </w:rPr>
        <w:t>8% педагогических работников общеобразовательных организаций в центре непрерывного повышения профессио</w:t>
      </w:r>
      <w:r w:rsidR="00270890" w:rsidRPr="00C359CC">
        <w:rPr>
          <w:bCs/>
          <w:iCs/>
          <w:sz w:val="28"/>
          <w:szCs w:val="28"/>
        </w:rPr>
        <w:t xml:space="preserve">нального мастерства ХМАО </w:t>
      </w:r>
      <w:r w:rsidR="00671DA6" w:rsidRPr="00C359CC">
        <w:rPr>
          <w:bCs/>
          <w:iCs/>
          <w:sz w:val="28"/>
          <w:szCs w:val="28"/>
        </w:rPr>
        <w:t>–</w:t>
      </w:r>
      <w:r w:rsidR="00270890" w:rsidRPr="00C359CC">
        <w:rPr>
          <w:bCs/>
          <w:iCs/>
          <w:sz w:val="28"/>
          <w:szCs w:val="28"/>
        </w:rPr>
        <w:t xml:space="preserve"> </w:t>
      </w:r>
      <w:proofErr w:type="spellStart"/>
      <w:r w:rsidR="00270890" w:rsidRPr="00C359CC">
        <w:rPr>
          <w:bCs/>
          <w:iCs/>
          <w:sz w:val="28"/>
          <w:szCs w:val="28"/>
        </w:rPr>
        <w:t>Югры</w:t>
      </w:r>
      <w:proofErr w:type="spellEnd"/>
      <w:r w:rsidR="00671DA6" w:rsidRPr="00C359CC">
        <w:rPr>
          <w:rFonts w:eastAsia="Calibri"/>
          <w:sz w:val="28"/>
          <w:szCs w:val="28"/>
          <w:lang w:eastAsia="en-US"/>
        </w:rPr>
        <w:t xml:space="preserve"> (исполнение пок</w:t>
      </w:r>
      <w:r w:rsidR="009A788E" w:rsidRPr="00C359CC">
        <w:rPr>
          <w:rFonts w:eastAsia="Calibri"/>
          <w:sz w:val="28"/>
          <w:szCs w:val="28"/>
          <w:lang w:eastAsia="en-US"/>
        </w:rPr>
        <w:t>азателя в настоящее время – 1,5</w:t>
      </w:r>
      <w:r w:rsidR="00671DA6" w:rsidRPr="00C359CC">
        <w:rPr>
          <w:rFonts w:eastAsia="Calibri"/>
          <w:sz w:val="28"/>
          <w:szCs w:val="28"/>
          <w:lang w:eastAsia="en-US"/>
        </w:rPr>
        <w:t>%).</w:t>
      </w:r>
    </w:p>
    <w:p w:rsidR="001F2899" w:rsidRPr="00C359CC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>Результат:</w:t>
      </w:r>
    </w:p>
    <w:p w:rsidR="001F2899" w:rsidRPr="00C359CC" w:rsidRDefault="001F289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rFonts w:eastAsia="Calibri"/>
          <w:sz w:val="28"/>
          <w:szCs w:val="28"/>
          <w:lang w:eastAsia="en-US"/>
        </w:rPr>
        <w:t xml:space="preserve">-3 призёра </w:t>
      </w:r>
      <w:r w:rsidRPr="00C359CC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C359CC">
        <w:rPr>
          <w:bCs/>
          <w:iCs/>
          <w:sz w:val="28"/>
          <w:szCs w:val="28"/>
        </w:rPr>
        <w:t>Юг</w:t>
      </w:r>
      <w:proofErr w:type="gramEnd"/>
      <w:r w:rsidRPr="00C359CC">
        <w:rPr>
          <w:bCs/>
          <w:iCs/>
          <w:sz w:val="28"/>
          <w:szCs w:val="28"/>
        </w:rPr>
        <w:t>ры</w:t>
      </w:r>
      <w:proofErr w:type="spellEnd"/>
      <w:r w:rsidRPr="00C359CC">
        <w:rPr>
          <w:bCs/>
          <w:iCs/>
          <w:sz w:val="28"/>
          <w:szCs w:val="28"/>
        </w:rPr>
        <w:t xml:space="preserve"> «Педагог года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 - 2022» в номинациях «Сердце отдаю детям», «Педагогическ</w:t>
      </w:r>
      <w:r w:rsidR="00EC70C3" w:rsidRPr="00C359CC">
        <w:rPr>
          <w:bCs/>
          <w:iCs/>
          <w:sz w:val="28"/>
          <w:szCs w:val="28"/>
        </w:rPr>
        <w:t>ий дебют», «От сердца к сердцу»;</w:t>
      </w:r>
    </w:p>
    <w:p w:rsidR="00CF3C59" w:rsidRPr="00C359CC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>-1 команда - финалист Всероссийского профессионального конкурса педагогических команд «Флагманы образования. Школы» президентской платформы «Россия – страна возможностей» (МБОУ «СОКШ № 4»);</w:t>
      </w:r>
    </w:p>
    <w:p w:rsidR="00CF3C59" w:rsidRPr="00C359CC" w:rsidRDefault="00CF3C59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>-3 победителя окружного конкурса на звани</w:t>
      </w:r>
      <w:r w:rsidR="003A076D" w:rsidRPr="00C359CC">
        <w:rPr>
          <w:sz w:val="28"/>
          <w:szCs w:val="28"/>
        </w:rPr>
        <w:t>е лучшего педагога Ханты-Мансий</w:t>
      </w:r>
      <w:r w:rsidRPr="00C359CC">
        <w:rPr>
          <w:sz w:val="28"/>
          <w:szCs w:val="28"/>
        </w:rPr>
        <w:t>ского автоно</w:t>
      </w:r>
      <w:r w:rsidR="00B131B3" w:rsidRPr="00C359CC">
        <w:rPr>
          <w:sz w:val="28"/>
          <w:szCs w:val="28"/>
        </w:rPr>
        <w:t xml:space="preserve">много округа – </w:t>
      </w:r>
      <w:proofErr w:type="spellStart"/>
      <w:r w:rsidR="00B131B3" w:rsidRPr="00C359CC">
        <w:rPr>
          <w:sz w:val="28"/>
          <w:szCs w:val="28"/>
        </w:rPr>
        <w:t>Югры</w:t>
      </w:r>
      <w:proofErr w:type="spellEnd"/>
      <w:r w:rsidR="00B131B3" w:rsidRPr="00C359CC">
        <w:rPr>
          <w:sz w:val="28"/>
          <w:szCs w:val="28"/>
        </w:rPr>
        <w:t xml:space="preserve"> в 2022 году;</w:t>
      </w:r>
    </w:p>
    <w:p w:rsidR="00B131B3" w:rsidRPr="00C359CC" w:rsidRDefault="00B131B3" w:rsidP="00B131B3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-1 победитель Всероссийского конкурса «Сердце отдаю детям» в </w:t>
      </w:r>
      <w:r w:rsidRPr="00C359CC">
        <w:rPr>
          <w:sz w:val="28"/>
          <w:szCs w:val="28"/>
        </w:rPr>
        <w:lastRenderedPageBreak/>
        <w:t>номинации «Педагог дополнительного образования по технической направленности».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C359CC">
        <w:rPr>
          <w:bCs/>
          <w:iCs/>
          <w:sz w:val="28"/>
          <w:szCs w:val="28"/>
        </w:rPr>
        <w:t>.Н</w:t>
      </w:r>
      <w:proofErr w:type="gramEnd"/>
      <w:r w:rsidRPr="00C359CC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C359CC">
        <w:rPr>
          <w:bCs/>
          <w:iCs/>
          <w:sz w:val="28"/>
          <w:szCs w:val="28"/>
        </w:rPr>
        <w:t>тьюторства</w:t>
      </w:r>
      <w:proofErr w:type="spellEnd"/>
      <w:r w:rsidRPr="00C359CC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270890" w:rsidRPr="00C359CC" w:rsidRDefault="00270890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C359CC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</w:t>
      </w:r>
      <w:r w:rsidR="005F3659" w:rsidRPr="00C359CC">
        <w:rPr>
          <w:rFonts w:eastAsia="Calibri"/>
          <w:sz w:val="28"/>
          <w:szCs w:val="28"/>
          <w:lang w:eastAsia="en-US"/>
        </w:rPr>
        <w:t>87,1</w:t>
      </w:r>
      <w:r w:rsidRPr="00C359CC">
        <w:rPr>
          <w:rFonts w:eastAsia="Calibri"/>
          <w:sz w:val="28"/>
          <w:szCs w:val="28"/>
          <w:lang w:eastAsia="en-US"/>
        </w:rPr>
        <w:t>%, в городе созданы условия для дополнительного образования детей в сферах образования, культуры, физической культуры и спорта</w:t>
      </w:r>
      <w:r w:rsidR="005F3659" w:rsidRPr="00C359CC">
        <w:rPr>
          <w:rFonts w:eastAsia="Calibri"/>
          <w:sz w:val="28"/>
          <w:szCs w:val="28"/>
          <w:lang w:eastAsia="en-US"/>
        </w:rPr>
        <w:t xml:space="preserve"> (исполнение </w:t>
      </w:r>
      <w:r w:rsidR="001F2899" w:rsidRPr="00C359CC">
        <w:rPr>
          <w:rFonts w:eastAsia="Calibri"/>
          <w:sz w:val="28"/>
          <w:szCs w:val="28"/>
          <w:lang w:eastAsia="en-US"/>
        </w:rPr>
        <w:t>п</w:t>
      </w:r>
      <w:r w:rsidR="00D31D93" w:rsidRPr="00C359CC">
        <w:rPr>
          <w:rFonts w:eastAsia="Calibri"/>
          <w:sz w:val="28"/>
          <w:szCs w:val="28"/>
          <w:lang w:eastAsia="en-US"/>
        </w:rPr>
        <w:t>о</w:t>
      </w:r>
      <w:r w:rsidR="009A788E" w:rsidRPr="00C359CC">
        <w:rPr>
          <w:rFonts w:eastAsia="Calibri"/>
          <w:sz w:val="28"/>
          <w:szCs w:val="28"/>
          <w:lang w:eastAsia="en-US"/>
        </w:rPr>
        <w:t>казателя в настоящее время – 86,7</w:t>
      </w:r>
      <w:r w:rsidR="005F3659" w:rsidRPr="00C359CC">
        <w:rPr>
          <w:rFonts w:eastAsia="Calibri"/>
          <w:sz w:val="28"/>
          <w:szCs w:val="28"/>
          <w:lang w:eastAsia="en-US"/>
        </w:rPr>
        <w:t>%, план 2022 г. – 8</w:t>
      </w:r>
      <w:r w:rsidR="00D31D93" w:rsidRPr="00C359CC">
        <w:rPr>
          <w:rFonts w:eastAsia="Calibri"/>
          <w:sz w:val="28"/>
          <w:szCs w:val="28"/>
          <w:lang w:eastAsia="en-US"/>
        </w:rPr>
        <w:t>6,9</w:t>
      </w:r>
      <w:r w:rsidR="00BB47E2" w:rsidRPr="00C359CC">
        <w:rPr>
          <w:rFonts w:eastAsia="Calibri"/>
          <w:sz w:val="28"/>
          <w:szCs w:val="28"/>
          <w:lang w:eastAsia="en-US"/>
        </w:rPr>
        <w:t>%</w:t>
      </w:r>
      <w:r w:rsidR="005F3659" w:rsidRPr="00C359CC">
        <w:rPr>
          <w:rFonts w:eastAsia="Calibri"/>
          <w:sz w:val="28"/>
          <w:szCs w:val="28"/>
          <w:lang w:eastAsia="en-US"/>
        </w:rPr>
        <w:t>).</w:t>
      </w:r>
      <w:r w:rsidRPr="00C359CC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="009A788E" w:rsidRPr="00C359CC">
        <w:rPr>
          <w:rFonts w:eastAsia="Calibri"/>
          <w:sz w:val="28"/>
          <w:szCs w:val="28"/>
          <w:lang w:eastAsia="en-US"/>
        </w:rPr>
        <w:t>19</w:t>
      </w:r>
      <w:r w:rsidRPr="00C359CC">
        <w:rPr>
          <w:rFonts w:eastAsia="Calibri"/>
          <w:sz w:val="28"/>
          <w:szCs w:val="28"/>
          <w:lang w:eastAsia="en-US"/>
        </w:rPr>
        <w:t xml:space="preserve"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</w:t>
      </w:r>
      <w:r w:rsidR="00B131B3" w:rsidRPr="00C359CC">
        <w:rPr>
          <w:rFonts w:eastAsia="Calibri"/>
          <w:sz w:val="28"/>
          <w:szCs w:val="28"/>
          <w:lang w:eastAsia="en-US"/>
        </w:rPr>
        <w:t>На портале персонифицированного дополнительного образования находится 609 программ дополнительного образования, прошедших сертификацию</w:t>
      </w:r>
      <w:r w:rsidRPr="00C359CC">
        <w:rPr>
          <w:rFonts w:eastAsia="Calibri"/>
          <w:sz w:val="28"/>
          <w:szCs w:val="28"/>
          <w:lang w:eastAsia="en-US"/>
        </w:rPr>
        <w:t xml:space="preserve">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281932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</w:t>
      </w:r>
      <w:r w:rsidR="00DF1BFF" w:rsidRPr="00C359CC">
        <w:rPr>
          <w:rFonts w:eastAsia="Calibri"/>
          <w:sz w:val="28"/>
          <w:szCs w:val="28"/>
          <w:lang w:eastAsia="en-US"/>
        </w:rPr>
        <w:t>не менее 45</w:t>
      </w:r>
      <w:r w:rsidR="00553898" w:rsidRPr="00C359CC">
        <w:rPr>
          <w:rFonts w:eastAsia="Calibri"/>
          <w:sz w:val="28"/>
          <w:szCs w:val="28"/>
          <w:lang w:eastAsia="en-US"/>
        </w:rPr>
        <w:t>%</w:t>
      </w:r>
      <w:r w:rsidRPr="00C359CC">
        <w:rPr>
          <w:rFonts w:eastAsia="Calibri"/>
          <w:sz w:val="28"/>
          <w:szCs w:val="28"/>
          <w:lang w:eastAsia="en-US"/>
        </w:rPr>
        <w:t xml:space="preserve">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ХМ</w:t>
      </w:r>
      <w:r w:rsidR="00553898" w:rsidRPr="00C359CC">
        <w:rPr>
          <w:rFonts w:eastAsia="Calibri"/>
          <w:sz w:val="28"/>
          <w:szCs w:val="28"/>
          <w:lang w:eastAsia="en-US"/>
        </w:rPr>
        <w:t>АО-Югры</w:t>
      </w:r>
      <w:proofErr w:type="spellEnd"/>
      <w:r w:rsidR="00553898" w:rsidRPr="00C359CC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="00553898" w:rsidRPr="00C359C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="00553898" w:rsidRPr="00C359CC">
        <w:rPr>
          <w:rFonts w:eastAsia="Calibri"/>
          <w:sz w:val="28"/>
          <w:szCs w:val="28"/>
          <w:lang w:eastAsia="en-US"/>
        </w:rPr>
        <w:t>»</w:t>
      </w:r>
      <w:r w:rsidR="005F3659" w:rsidRPr="00C359CC">
        <w:rPr>
          <w:rFonts w:eastAsia="Calibri"/>
          <w:sz w:val="28"/>
          <w:szCs w:val="28"/>
          <w:lang w:eastAsia="en-US"/>
        </w:rPr>
        <w:t xml:space="preserve"> (исполнение </w:t>
      </w:r>
      <w:r w:rsidR="00DF1BFF" w:rsidRPr="00C359CC">
        <w:rPr>
          <w:rFonts w:eastAsia="Calibri"/>
          <w:sz w:val="28"/>
          <w:szCs w:val="28"/>
          <w:lang w:eastAsia="en-US"/>
        </w:rPr>
        <w:t>показателя в настоящее время – 2</w:t>
      </w:r>
      <w:r w:rsidR="009A788E" w:rsidRPr="00C359CC">
        <w:rPr>
          <w:rFonts w:eastAsia="Calibri"/>
          <w:sz w:val="28"/>
          <w:szCs w:val="28"/>
          <w:lang w:eastAsia="en-US"/>
        </w:rPr>
        <w:t>4</w:t>
      </w:r>
      <w:r w:rsidR="00DF1BFF" w:rsidRPr="00C359CC">
        <w:rPr>
          <w:rFonts w:eastAsia="Calibri"/>
          <w:sz w:val="28"/>
          <w:szCs w:val="28"/>
          <w:lang w:eastAsia="en-US"/>
        </w:rPr>
        <w:t>,</w:t>
      </w:r>
      <w:r w:rsidR="009A788E" w:rsidRPr="00C359CC">
        <w:rPr>
          <w:rFonts w:eastAsia="Calibri"/>
          <w:sz w:val="28"/>
          <w:szCs w:val="28"/>
          <w:lang w:eastAsia="en-US"/>
        </w:rPr>
        <w:t>7</w:t>
      </w:r>
      <w:r w:rsidR="006D15F6" w:rsidRPr="00C359CC">
        <w:rPr>
          <w:rFonts w:eastAsia="Calibri"/>
          <w:sz w:val="28"/>
          <w:szCs w:val="28"/>
          <w:lang w:eastAsia="en-US"/>
        </w:rPr>
        <w:t>%, план 2022 г. – 3</w:t>
      </w:r>
      <w:r w:rsidR="00DF1BFF" w:rsidRPr="00C359CC">
        <w:rPr>
          <w:rFonts w:eastAsia="Calibri"/>
          <w:sz w:val="28"/>
          <w:szCs w:val="28"/>
          <w:lang w:eastAsia="en-US"/>
        </w:rPr>
        <w:t>5,6</w:t>
      </w:r>
      <w:r w:rsidR="005F3659" w:rsidRPr="00C359CC">
        <w:rPr>
          <w:rFonts w:eastAsia="Calibri"/>
          <w:sz w:val="28"/>
          <w:szCs w:val="28"/>
          <w:lang w:eastAsia="en-US"/>
        </w:rPr>
        <w:t>%).</w:t>
      </w:r>
      <w:r w:rsidR="00281932" w:rsidRPr="00C359CC">
        <w:rPr>
          <w:rFonts w:eastAsia="Calibri"/>
          <w:sz w:val="28"/>
          <w:szCs w:val="28"/>
          <w:lang w:eastAsia="en-US"/>
        </w:rPr>
        <w:t xml:space="preserve"> </w:t>
      </w:r>
    </w:p>
    <w:p w:rsidR="00281932" w:rsidRPr="00C359CC" w:rsidRDefault="00281932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 xml:space="preserve">С этой целью организовано дистанционное участие учащихся общеобразовательных организаций  в открытых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», «Открытые уроки», «Уроки </w:t>
      </w:r>
      <w:r w:rsidRPr="00C359CC">
        <w:rPr>
          <w:rFonts w:eastAsia="Calibri"/>
          <w:sz w:val="28"/>
          <w:szCs w:val="28"/>
          <w:lang w:eastAsia="en-US"/>
        </w:rPr>
        <w:lastRenderedPageBreak/>
        <w:t>настоящего», «Билет в будущее», иных проектах, направленных на раннюю профориентацию учащихся (</w:t>
      </w:r>
      <w:r w:rsidR="006962C0" w:rsidRPr="00C359CC">
        <w:rPr>
          <w:rFonts w:eastAsia="Calibri"/>
          <w:sz w:val="28"/>
          <w:szCs w:val="28"/>
          <w:lang w:eastAsia="en-US"/>
        </w:rPr>
        <w:t>исполнение по</w:t>
      </w:r>
      <w:r w:rsidR="009A788E" w:rsidRPr="00C359CC">
        <w:rPr>
          <w:rFonts w:eastAsia="Calibri"/>
          <w:sz w:val="28"/>
          <w:szCs w:val="28"/>
          <w:lang w:eastAsia="en-US"/>
        </w:rPr>
        <w:t>казателя в настоящее время – 16</w:t>
      </w:r>
      <w:r w:rsidR="006962C0" w:rsidRPr="00C359CC">
        <w:rPr>
          <w:rFonts w:eastAsia="Calibri"/>
          <w:sz w:val="28"/>
          <w:szCs w:val="28"/>
          <w:lang w:eastAsia="en-US"/>
        </w:rPr>
        <w:t xml:space="preserve">%, </w:t>
      </w:r>
      <w:r w:rsidR="00DF1BFF" w:rsidRPr="00C359CC">
        <w:rPr>
          <w:rFonts w:eastAsia="Calibri"/>
          <w:sz w:val="28"/>
          <w:szCs w:val="28"/>
          <w:lang w:eastAsia="en-US"/>
        </w:rPr>
        <w:t>план 2022 г. – 3</w:t>
      </w:r>
      <w:r w:rsidR="005F3659" w:rsidRPr="00C359CC">
        <w:rPr>
          <w:rFonts w:eastAsia="Calibri"/>
          <w:sz w:val="28"/>
          <w:szCs w:val="28"/>
          <w:lang w:eastAsia="en-US"/>
        </w:rPr>
        <w:t>0%</w:t>
      </w:r>
      <w:r w:rsidRPr="00C359CC">
        <w:rPr>
          <w:rFonts w:eastAsia="Calibri"/>
          <w:sz w:val="28"/>
          <w:szCs w:val="28"/>
          <w:lang w:eastAsia="en-US"/>
        </w:rPr>
        <w:t xml:space="preserve">). </w:t>
      </w:r>
      <w:proofErr w:type="gramEnd"/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</w:t>
      </w:r>
      <w:r w:rsidR="00553898" w:rsidRPr="00C359CC">
        <w:rPr>
          <w:rFonts w:eastAsia="Calibri"/>
          <w:sz w:val="28"/>
          <w:szCs w:val="28"/>
          <w:lang w:eastAsia="en-US"/>
        </w:rPr>
        <w:t xml:space="preserve">Успешно реализуется 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C359CC">
        <w:rPr>
          <w:rFonts w:eastAsia="Calibri"/>
          <w:sz w:val="28"/>
          <w:szCs w:val="28"/>
          <w:lang w:eastAsia="en-US"/>
        </w:rPr>
        <w:t xml:space="preserve"> на БУДУЩЕЕ», </w:t>
      </w:r>
      <w:r w:rsidR="00553898" w:rsidRPr="00C359CC">
        <w:rPr>
          <w:rFonts w:eastAsia="Calibri"/>
          <w:sz w:val="28"/>
          <w:szCs w:val="28"/>
          <w:lang w:eastAsia="en-US"/>
        </w:rPr>
        <w:t>созданный</w:t>
      </w:r>
      <w:r w:rsidRPr="00C359CC">
        <w:rPr>
          <w:rFonts w:eastAsia="Calibri"/>
          <w:sz w:val="28"/>
          <w:szCs w:val="28"/>
          <w:lang w:eastAsia="en-US"/>
        </w:rPr>
        <w:t xml:space="preserve"> в сотрудничестве с ООО «</w:t>
      </w:r>
      <w:proofErr w:type="spellStart"/>
      <w:r w:rsidRPr="00C359CC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C359CC">
        <w:rPr>
          <w:rFonts w:eastAsia="Calibri"/>
          <w:sz w:val="28"/>
          <w:szCs w:val="28"/>
          <w:lang w:eastAsia="en-US"/>
        </w:rPr>
        <w:t>».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Дом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C359CC">
        <w:rPr>
          <w:rFonts w:eastAsia="Calibri"/>
          <w:sz w:val="28"/>
          <w:szCs w:val="28"/>
          <w:lang w:eastAsia="en-US"/>
        </w:rPr>
        <w:t>Дом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i/>
          <w:sz w:val="28"/>
          <w:szCs w:val="28"/>
        </w:rPr>
        <w:t>Региональный проект «</w:t>
      </w:r>
      <w:r w:rsidRPr="00C359CC">
        <w:rPr>
          <w:bCs/>
          <w:i/>
          <w:iCs/>
          <w:sz w:val="28"/>
          <w:szCs w:val="28"/>
        </w:rPr>
        <w:t>Поддержка семей, имеющих детей»</w:t>
      </w:r>
    </w:p>
    <w:p w:rsidR="00E549CB" w:rsidRPr="00C359CC" w:rsidRDefault="00E549CB" w:rsidP="00E549C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C359CC">
        <w:rPr>
          <w:bCs/>
          <w:iCs/>
          <w:sz w:val="28"/>
          <w:szCs w:val="28"/>
        </w:rPr>
        <w:t>лекотеки</w:t>
      </w:r>
      <w:proofErr w:type="spellEnd"/>
      <w:r w:rsidRPr="00C359CC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E549CB" w:rsidRPr="00C359CC" w:rsidRDefault="00E549CB" w:rsidP="00E549C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В рамках реализации проекта 6 дошкольных образовательных организаций (40%)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E549CB" w:rsidRPr="00C359CC" w:rsidRDefault="00E549CB" w:rsidP="00E549CB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C359CC">
        <w:rPr>
          <w:bCs/>
          <w:iCs/>
          <w:sz w:val="28"/>
          <w:szCs w:val="28"/>
        </w:rPr>
        <w:t>компетентностного</w:t>
      </w:r>
      <w:proofErr w:type="spellEnd"/>
      <w:r w:rsidRPr="00C359CC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C359CC">
        <w:rPr>
          <w:bCs/>
          <w:iCs/>
          <w:sz w:val="28"/>
          <w:szCs w:val="28"/>
        </w:rPr>
        <w:t>Инклюверсариум</w:t>
      </w:r>
      <w:proofErr w:type="spellEnd"/>
      <w:r w:rsidRPr="00C359CC">
        <w:rPr>
          <w:bCs/>
          <w:iCs/>
          <w:sz w:val="28"/>
          <w:szCs w:val="28"/>
        </w:rPr>
        <w:t>».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</w:t>
      </w:r>
      <w:r w:rsidRPr="00C359CC">
        <w:rPr>
          <w:sz w:val="28"/>
          <w:szCs w:val="28"/>
        </w:rPr>
        <w:lastRenderedPageBreak/>
        <w:t xml:space="preserve">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C359CC">
        <w:rPr>
          <w:sz w:val="28"/>
          <w:szCs w:val="28"/>
        </w:rPr>
        <w:t>контента</w:t>
      </w:r>
      <w:proofErr w:type="spellEnd"/>
      <w:r w:rsidRPr="00C359CC">
        <w:rPr>
          <w:sz w:val="28"/>
          <w:szCs w:val="28"/>
        </w:rPr>
        <w:t xml:space="preserve"> для образовательной деятельности.</w:t>
      </w:r>
    </w:p>
    <w:p w:rsidR="00CE077A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sz w:val="28"/>
          <w:szCs w:val="28"/>
        </w:rPr>
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</w:t>
      </w:r>
      <w:r w:rsidRPr="00C359CC">
        <w:rPr>
          <w:bCs/>
          <w:iCs/>
          <w:color w:val="000000" w:themeColor="text1"/>
          <w:sz w:val="28"/>
          <w:szCs w:val="28"/>
        </w:rPr>
        <w:t xml:space="preserve">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CE077A" w:rsidRPr="00C359CC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Style w:val="markedcontent"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.</w:t>
      </w:r>
      <w:r w:rsidRPr="00C359CC">
        <w:rPr>
          <w:color w:val="000000" w:themeColor="text1"/>
          <w:sz w:val="28"/>
          <w:szCs w:val="28"/>
        </w:rPr>
        <w:t xml:space="preserve"> 100% общеобразовательных организаций являются участниками </w:t>
      </w:r>
      <w:proofErr w:type="spellStart"/>
      <w:r w:rsidRPr="00C359CC">
        <w:rPr>
          <w:color w:val="000000" w:themeColor="text1"/>
          <w:sz w:val="28"/>
          <w:szCs w:val="28"/>
        </w:rPr>
        <w:t>пилотного</w:t>
      </w:r>
      <w:proofErr w:type="spellEnd"/>
      <w:r w:rsidRPr="00C359CC">
        <w:rPr>
          <w:color w:val="000000" w:themeColor="text1"/>
          <w:sz w:val="28"/>
          <w:szCs w:val="28"/>
        </w:rPr>
        <w:t xml:space="preserve"> </w:t>
      </w:r>
      <w:r w:rsidRPr="00C359CC">
        <w:rPr>
          <w:rStyle w:val="markedcontent"/>
          <w:color w:val="000000" w:themeColor="text1"/>
          <w:sz w:val="28"/>
          <w:szCs w:val="28"/>
        </w:rPr>
        <w:t>проекта «</w:t>
      </w:r>
      <w:proofErr w:type="spellStart"/>
      <w:r w:rsidRPr="00C359CC">
        <w:rPr>
          <w:rStyle w:val="markedcontent"/>
          <w:color w:val="000000" w:themeColor="text1"/>
          <w:sz w:val="28"/>
          <w:szCs w:val="28"/>
        </w:rPr>
        <w:t>Гос</w:t>
      </w:r>
      <w:proofErr w:type="gramStart"/>
      <w:r w:rsidRPr="00C359CC">
        <w:rPr>
          <w:rStyle w:val="markedcontent"/>
          <w:color w:val="000000" w:themeColor="text1"/>
          <w:sz w:val="28"/>
          <w:szCs w:val="28"/>
        </w:rPr>
        <w:t>Web</w:t>
      </w:r>
      <w:proofErr w:type="spellEnd"/>
      <w:proofErr w:type="gramEnd"/>
      <w:r w:rsidRPr="00C359CC">
        <w:rPr>
          <w:rStyle w:val="markedcontent"/>
          <w:color w:val="000000" w:themeColor="text1"/>
          <w:sz w:val="28"/>
          <w:szCs w:val="28"/>
        </w:rPr>
        <w:t>»</w:t>
      </w:r>
      <w:r w:rsidRPr="00C359CC">
        <w:rPr>
          <w:color w:val="000000" w:themeColor="text1"/>
          <w:sz w:val="28"/>
          <w:szCs w:val="28"/>
        </w:rPr>
        <w:t xml:space="preserve"> (</w:t>
      </w:r>
      <w:r w:rsidRPr="00C359CC">
        <w:rPr>
          <w:rStyle w:val="markedcontent"/>
          <w:color w:val="000000" w:themeColor="text1"/>
          <w:sz w:val="28"/>
          <w:szCs w:val="28"/>
        </w:rPr>
        <w:t>опытно-промышленная эксплуатация конструктора сайтов на базе единого</w:t>
      </w:r>
      <w:r w:rsidRPr="00C359CC">
        <w:rPr>
          <w:color w:val="000000" w:themeColor="text1"/>
          <w:sz w:val="28"/>
          <w:szCs w:val="28"/>
        </w:rPr>
        <w:t xml:space="preserve"> </w:t>
      </w:r>
      <w:r w:rsidRPr="00C359CC">
        <w:rPr>
          <w:rStyle w:val="markedcontent"/>
          <w:color w:val="000000" w:themeColor="text1"/>
          <w:sz w:val="28"/>
          <w:szCs w:val="28"/>
        </w:rPr>
        <w:t>портала государственных и муниципальных услуг).</w:t>
      </w:r>
    </w:p>
    <w:p w:rsidR="00CE077A" w:rsidRPr="00C359CC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)» внедрена в 100% образовательных организаций. В 2021-2022 учебном году в системе ЦОП «ГИС Образование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 запущены два новых модуля «Личный кабинет родителя», где родители (законные представители) могут принимать участие в образовательном процессе своего ребёнка и «Школьное питание», которое обеспечивает автоматизацию всех процессов организации питания, а также четырёхступенчатую систему контроля качества питания. Ведется разработка модуля «Безопасность», внедрение которого позволит обеспечить комплексный анализ всех входных групп образовательных организаций.</w:t>
      </w:r>
    </w:p>
    <w:p w:rsidR="00CE077A" w:rsidRPr="00C359CC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C359CC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 от 05.07.2019 № 356-рп 13 общеобразовательных организаций (86,66%) включены в реализацию региональной составляющей федерального проекта «Цифровая образовательная среда», в которых выполнена поставка оборудования, приобретенного за счет средств федерального бюджета для внедрения целевой модели цифровой образовательной среды (в МБОУ «СОШ № 3 им.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», МБОУ «СОШ № 6» поставка оборудования планируется в 2024</w:t>
      </w:r>
      <w:proofErr w:type="gramEnd"/>
      <w:r w:rsidRPr="00C359CC">
        <w:rPr>
          <w:bCs/>
          <w:iCs/>
          <w:color w:val="000000" w:themeColor="text1"/>
          <w:sz w:val="28"/>
          <w:szCs w:val="28"/>
        </w:rPr>
        <w:t xml:space="preserve"> году).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C359CC">
          <w:rPr>
            <w:bCs/>
            <w:iCs/>
            <w:color w:val="000000" w:themeColor="text1"/>
            <w:sz w:val="28"/>
            <w:szCs w:val="28"/>
          </w:rPr>
          <w:t xml:space="preserve">развитие системы </w:t>
        </w:r>
        <w:r w:rsidRPr="00C359CC">
          <w:rPr>
            <w:bCs/>
            <w:iCs/>
            <w:color w:val="000000" w:themeColor="text1"/>
            <w:sz w:val="28"/>
            <w:szCs w:val="28"/>
          </w:rPr>
          <w:lastRenderedPageBreak/>
          <w:t xml:space="preserve">библиотечного делопроизводства в образовательных </w:t>
        </w:r>
        <w:proofErr w:type="gramStart"/>
        <w:r w:rsidRPr="00C359CC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C359CC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C359CC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C359CC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C359CC">
        <w:rPr>
          <w:bCs/>
          <w:iCs/>
          <w:color w:val="000000" w:themeColor="text1"/>
          <w:sz w:val="28"/>
          <w:szCs w:val="28"/>
        </w:rPr>
        <w:t>», МБОУ «СОШ №10», МБОУ «СОШ       № 13». В МБОУ «СОШ № 13» организована деятельность 100-ого филиала Президентской библиотеки.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C359CC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C359CC">
        <w:rPr>
          <w:color w:val="000000" w:themeColor="text1"/>
          <w:sz w:val="28"/>
          <w:szCs w:val="28"/>
        </w:rPr>
        <w:t>ХМАО-Югры</w:t>
      </w:r>
      <w:proofErr w:type="spellEnd"/>
      <w:r w:rsidRPr="00C359CC">
        <w:rPr>
          <w:color w:val="000000" w:themeColor="text1"/>
          <w:sz w:val="28"/>
          <w:szCs w:val="28"/>
        </w:rPr>
        <w:t>», «</w:t>
      </w:r>
      <w:proofErr w:type="spellStart"/>
      <w:r w:rsidRPr="00C359CC">
        <w:rPr>
          <w:color w:val="000000" w:themeColor="text1"/>
          <w:sz w:val="28"/>
          <w:szCs w:val="28"/>
        </w:rPr>
        <w:t>Учи</w:t>
      </w:r>
      <w:proofErr w:type="gramStart"/>
      <w:r w:rsidRPr="00C359CC">
        <w:rPr>
          <w:color w:val="000000" w:themeColor="text1"/>
          <w:sz w:val="28"/>
          <w:szCs w:val="28"/>
        </w:rPr>
        <w:t>.Р</w:t>
      </w:r>
      <w:proofErr w:type="gramEnd"/>
      <w:r w:rsidRPr="00C359CC">
        <w:rPr>
          <w:color w:val="000000" w:themeColor="text1"/>
          <w:sz w:val="28"/>
          <w:szCs w:val="28"/>
        </w:rPr>
        <w:t>у</w:t>
      </w:r>
      <w:proofErr w:type="spellEnd"/>
      <w:r w:rsidRPr="00C359CC">
        <w:rPr>
          <w:color w:val="000000" w:themeColor="text1"/>
          <w:sz w:val="28"/>
          <w:szCs w:val="28"/>
        </w:rPr>
        <w:t>», «</w:t>
      </w:r>
      <w:proofErr w:type="spellStart"/>
      <w:r w:rsidRPr="00C359CC">
        <w:rPr>
          <w:color w:val="000000" w:themeColor="text1"/>
          <w:sz w:val="28"/>
          <w:szCs w:val="28"/>
        </w:rPr>
        <w:t>ЯКласс</w:t>
      </w:r>
      <w:proofErr w:type="spellEnd"/>
      <w:r w:rsidRPr="00C359CC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C359CC" w:rsidRDefault="00CE077A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359CC">
        <w:rPr>
          <w:color w:val="000000" w:themeColor="text1"/>
          <w:sz w:val="28"/>
          <w:szCs w:val="28"/>
        </w:rPr>
        <w:t>3 общеобразовательных организации</w:t>
      </w:r>
      <w:r w:rsidR="000738EF" w:rsidRPr="00C359CC">
        <w:rPr>
          <w:color w:val="000000" w:themeColor="text1"/>
          <w:sz w:val="28"/>
          <w:szCs w:val="28"/>
        </w:rPr>
        <w:t xml:space="preserve"> участвуют в реализации </w:t>
      </w:r>
      <w:proofErr w:type="spellStart"/>
      <w:r w:rsidR="000738EF" w:rsidRPr="00C359CC">
        <w:rPr>
          <w:color w:val="000000" w:themeColor="text1"/>
          <w:sz w:val="28"/>
          <w:szCs w:val="28"/>
        </w:rPr>
        <w:t>пилотного</w:t>
      </w:r>
      <w:proofErr w:type="spellEnd"/>
      <w:r w:rsidR="000738EF" w:rsidRPr="00C359CC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C359CC" w:rsidRDefault="000738EF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 </w:t>
      </w:r>
      <w:r w:rsidRPr="00C359CC">
        <w:rPr>
          <w:rFonts w:eastAsia="Calibri"/>
          <w:sz w:val="28"/>
          <w:szCs w:val="28"/>
          <w:lang w:eastAsia="en-US"/>
        </w:rPr>
        <w:t xml:space="preserve">(исполнение показателя в настоящее время – 13 924 чел., план 2022 г. – 16 900 чел.). </w:t>
      </w:r>
      <w:r w:rsidRPr="00C359CC">
        <w:rPr>
          <w:bCs/>
          <w:iCs/>
          <w:sz w:val="28"/>
          <w:szCs w:val="28"/>
        </w:rPr>
        <w:t xml:space="preserve">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На территории г</w:t>
      </w:r>
      <w:proofErr w:type="gramStart"/>
      <w:r w:rsidRPr="00C359CC">
        <w:rPr>
          <w:bCs/>
          <w:iCs/>
          <w:sz w:val="28"/>
          <w:szCs w:val="28"/>
        </w:rPr>
        <w:t>.Н</w:t>
      </w:r>
      <w:proofErr w:type="gramEnd"/>
      <w:r w:rsidRPr="00C359CC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C359CC">
        <w:rPr>
          <w:bCs/>
          <w:iCs/>
          <w:sz w:val="28"/>
          <w:szCs w:val="28"/>
        </w:rPr>
        <w:t>Югры</w:t>
      </w:r>
      <w:proofErr w:type="spellEnd"/>
      <w:r w:rsidRPr="00C359CC">
        <w:rPr>
          <w:bCs/>
          <w:iCs/>
          <w:sz w:val="28"/>
          <w:szCs w:val="28"/>
        </w:rPr>
        <w:t xml:space="preserve">».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«Подари тепло защитнику Отечества», в том числе мероприятий, направленных на профилактику негативных явлений в молодёжной среде. </w:t>
      </w:r>
    </w:p>
    <w:p w:rsidR="00112452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Планируется участие не менее 13 000 человек молодёжи в мероприятиях и форумах различного уровня</w:t>
      </w:r>
      <w:r w:rsidR="00112452" w:rsidRPr="00C359CC">
        <w:rPr>
          <w:bCs/>
          <w:iCs/>
          <w:sz w:val="28"/>
          <w:szCs w:val="28"/>
        </w:rPr>
        <w:t xml:space="preserve"> (фестиваль молодежных инициатив «Нефтеюганск молодой!», фестиваль молодых семей «Мир в котором я живу», молодежный </w:t>
      </w:r>
      <w:proofErr w:type="spellStart"/>
      <w:r w:rsidR="00112452" w:rsidRPr="00C359CC">
        <w:rPr>
          <w:bCs/>
          <w:iCs/>
          <w:sz w:val="28"/>
          <w:szCs w:val="28"/>
        </w:rPr>
        <w:t>медиа-форум</w:t>
      </w:r>
      <w:proofErr w:type="spellEnd"/>
      <w:r w:rsidR="00112452" w:rsidRPr="00C359CC">
        <w:rPr>
          <w:bCs/>
          <w:iCs/>
          <w:sz w:val="28"/>
          <w:szCs w:val="28"/>
        </w:rPr>
        <w:t xml:space="preserve"> для школьников «Отклик» и др.)</w:t>
      </w:r>
      <w:r w:rsidRPr="00C359CC">
        <w:rPr>
          <w:bCs/>
          <w:iCs/>
          <w:sz w:val="28"/>
          <w:szCs w:val="28"/>
        </w:rPr>
        <w:t xml:space="preserve">, в том числе фестивале работающей молодежи «Стимул».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C359CC">
        <w:rPr>
          <w:sz w:val="28"/>
          <w:szCs w:val="28"/>
        </w:rPr>
        <w:t xml:space="preserve"> </w:t>
      </w:r>
      <w:r w:rsidRPr="00C359CC">
        <w:rPr>
          <w:bCs/>
          <w:iCs/>
          <w:sz w:val="28"/>
          <w:szCs w:val="28"/>
        </w:rPr>
        <w:t>Состоялся фестиваль молодых семей «</w:t>
      </w:r>
      <w:proofErr w:type="gramStart"/>
      <w:r w:rsidRPr="00C359CC">
        <w:rPr>
          <w:bCs/>
          <w:iCs/>
          <w:sz w:val="28"/>
          <w:szCs w:val="28"/>
        </w:rPr>
        <w:t>Мир</w:t>
      </w:r>
      <w:proofErr w:type="gramEnd"/>
      <w:r w:rsidRPr="00C359CC">
        <w:rPr>
          <w:bCs/>
          <w:iCs/>
          <w:sz w:val="28"/>
          <w:szCs w:val="28"/>
        </w:rPr>
        <w:t xml:space="preserve"> в котором мы </w:t>
      </w:r>
      <w:r w:rsidRPr="00C359CC">
        <w:rPr>
          <w:bCs/>
          <w:iCs/>
          <w:sz w:val="28"/>
          <w:szCs w:val="28"/>
        </w:rPr>
        <w:lastRenderedPageBreak/>
        <w:t xml:space="preserve">живем». </w:t>
      </w:r>
      <w:r w:rsidRPr="00C359CC">
        <w:rPr>
          <w:sz w:val="28"/>
          <w:szCs w:val="28"/>
        </w:rPr>
        <w:t>Р</w:t>
      </w:r>
      <w:r w:rsidRPr="00C359CC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C359CC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 г., 2019 г., 2020 г., 2021 г.) и подтверждает эти результаты на всероссийском уровне.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9CC">
        <w:rPr>
          <w:rFonts w:eastAsia="Calibri"/>
          <w:color w:val="000000" w:themeColor="text1"/>
          <w:sz w:val="28"/>
          <w:szCs w:val="28"/>
        </w:rPr>
        <w:t xml:space="preserve">Не менее 3100 </w:t>
      </w:r>
      <w:r w:rsidRPr="00C359CC">
        <w:rPr>
          <w:bCs/>
          <w:iCs/>
          <w:sz w:val="28"/>
          <w:szCs w:val="28"/>
        </w:rPr>
        <w:t xml:space="preserve">учащихся </w:t>
      </w:r>
      <w:proofErr w:type="gramStart"/>
      <w:r w:rsidRPr="00C359CC">
        <w:rPr>
          <w:bCs/>
          <w:iCs/>
          <w:sz w:val="28"/>
          <w:szCs w:val="28"/>
        </w:rPr>
        <w:t>вовлечены</w:t>
      </w:r>
      <w:proofErr w:type="gramEnd"/>
      <w:r w:rsidRPr="00C359CC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C359CC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C359CC">
        <w:rPr>
          <w:bCs/>
          <w:iCs/>
          <w:sz w:val="28"/>
          <w:szCs w:val="28"/>
        </w:rPr>
        <w:t>межпоколенческого</w:t>
      </w:r>
      <w:proofErr w:type="spellEnd"/>
      <w:r w:rsidRPr="00C359CC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9CC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C359CC">
        <w:rPr>
          <w:bCs/>
          <w:iCs/>
          <w:sz w:val="28"/>
          <w:szCs w:val="28"/>
        </w:rPr>
        <w:t>Юнармия</w:t>
      </w:r>
      <w:proofErr w:type="spellEnd"/>
      <w:r w:rsidRPr="00C359CC">
        <w:rPr>
          <w:bCs/>
          <w:iCs/>
          <w:sz w:val="28"/>
          <w:szCs w:val="28"/>
        </w:rPr>
        <w:t>» на базе МБУ ДО «ДДТ»</w:t>
      </w:r>
      <w:r w:rsidRPr="00C359CC">
        <w:rPr>
          <w:color w:val="000000" w:themeColor="text1"/>
          <w:sz w:val="28"/>
          <w:szCs w:val="28"/>
        </w:rPr>
        <w:t xml:space="preserve">, в которое принято 727 человек детей и молодежи. </w:t>
      </w:r>
      <w:r w:rsidRPr="00C359CC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C359CC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CC671F" w:rsidRPr="00C359CC" w:rsidRDefault="00CC671F" w:rsidP="00CC671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C359CC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C359CC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 </w:t>
      </w:r>
      <w:r w:rsidRPr="00C359CC">
        <w:rPr>
          <w:bCs/>
          <w:iCs/>
          <w:sz w:val="28"/>
          <w:szCs w:val="28"/>
        </w:rPr>
        <w:t xml:space="preserve">«Без срока давности»; акция «Блокадный хлеб»; </w:t>
      </w:r>
      <w:proofErr w:type="spellStart"/>
      <w:r w:rsidRPr="00C359CC">
        <w:rPr>
          <w:bCs/>
          <w:iCs/>
          <w:sz w:val="28"/>
          <w:szCs w:val="28"/>
        </w:rPr>
        <w:t>квест</w:t>
      </w:r>
      <w:proofErr w:type="spellEnd"/>
      <w:r w:rsidRPr="00C359CC">
        <w:rPr>
          <w:bCs/>
          <w:iCs/>
          <w:sz w:val="28"/>
          <w:szCs w:val="28"/>
        </w:rPr>
        <w:t xml:space="preserve"> «Сталинградская битва»;</w:t>
      </w:r>
      <w:r w:rsidRPr="00C359CC">
        <w:rPr>
          <w:sz w:val="28"/>
          <w:szCs w:val="28"/>
        </w:rPr>
        <w:t xml:space="preserve"> </w:t>
      </w:r>
      <w:r w:rsidRPr="00C359CC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России», «Знай свою страну» и др. </w:t>
      </w:r>
      <w:proofErr w:type="gramEnd"/>
    </w:p>
    <w:p w:rsidR="0009035E" w:rsidRPr="00C359CC" w:rsidRDefault="0009035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09035E" w:rsidRPr="00C359CC" w:rsidRDefault="0009035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  <w:sectPr w:rsidR="0009035E" w:rsidRPr="00C359CC" w:rsidSect="00032DA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035E" w:rsidRPr="00C359CC" w:rsidRDefault="0009035E" w:rsidP="0009035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 w:rsidRPr="00C359CC">
        <w:rPr>
          <w:sz w:val="28"/>
          <w:szCs w:val="28"/>
        </w:rPr>
        <w:lastRenderedPageBreak/>
        <w:t xml:space="preserve">Информация о реализации показателей национального проекта «Образование» за </w:t>
      </w:r>
      <w:r w:rsidR="00323185" w:rsidRPr="00C359CC">
        <w:rPr>
          <w:sz w:val="28"/>
          <w:szCs w:val="28"/>
        </w:rPr>
        <w:t>третий</w:t>
      </w:r>
      <w:r w:rsidRPr="00C359CC">
        <w:rPr>
          <w:sz w:val="28"/>
          <w:szCs w:val="28"/>
        </w:rPr>
        <w:t xml:space="preserve"> квартал 2022 года</w:t>
      </w:r>
    </w:p>
    <w:p w:rsidR="0009035E" w:rsidRPr="00C359CC" w:rsidRDefault="0009035E" w:rsidP="0009035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09035E" w:rsidRPr="00C359CC" w:rsidRDefault="0009035E" w:rsidP="0009035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359CC"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 w:rsidRPr="00C359CC"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09035E" w:rsidRPr="00C359CC" w:rsidRDefault="0009035E" w:rsidP="0009035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59CC">
        <w:rPr>
          <w:rFonts w:eastAsia="Calibri"/>
          <w:sz w:val="28"/>
          <w:szCs w:val="28"/>
          <w:lang w:eastAsia="en-US"/>
        </w:rPr>
        <w:t>В</w:t>
      </w:r>
      <w:r w:rsidR="00323185" w:rsidRPr="00C359CC">
        <w:rPr>
          <w:rFonts w:eastAsia="Calibri"/>
          <w:sz w:val="28"/>
          <w:szCs w:val="28"/>
          <w:lang w:eastAsia="en-US"/>
        </w:rPr>
        <w:t xml:space="preserve"> третьем</w:t>
      </w:r>
      <w:r w:rsidRPr="00C359CC">
        <w:rPr>
          <w:rFonts w:eastAsia="Calibri"/>
          <w:sz w:val="28"/>
          <w:szCs w:val="28"/>
          <w:lang w:eastAsia="en-US"/>
        </w:rPr>
        <w:t xml:space="preserve"> квартале 2022 год</w:t>
      </w:r>
      <w:r w:rsidR="00323185" w:rsidRPr="00C359CC">
        <w:rPr>
          <w:rFonts w:eastAsia="Calibri"/>
          <w:sz w:val="28"/>
          <w:szCs w:val="28"/>
          <w:lang w:eastAsia="en-US"/>
        </w:rPr>
        <w:t>а</w:t>
      </w:r>
      <w:r w:rsidRPr="00C359CC">
        <w:rPr>
          <w:rFonts w:eastAsia="Calibri"/>
          <w:sz w:val="28"/>
          <w:szCs w:val="28"/>
          <w:lang w:eastAsia="en-US"/>
        </w:rPr>
        <w:t xml:space="preserve"> обеспечено исполнение показателей: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25"/>
        <w:gridCol w:w="1560"/>
        <w:gridCol w:w="1701"/>
        <w:gridCol w:w="6378"/>
      </w:tblGrid>
      <w:tr w:rsidR="0009035E" w:rsidRPr="00C359CC" w:rsidTr="00DC53A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359CC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359CC">
              <w:rPr>
                <w:bCs/>
                <w:color w:val="000000"/>
              </w:rPr>
              <w:t>/</w:t>
            </w:r>
            <w:proofErr w:type="spellStart"/>
            <w:r w:rsidRPr="00C359CC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 xml:space="preserve">Значение показателя </w:t>
            </w:r>
          </w:p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на 2022 год</w:t>
            </w:r>
          </w:p>
        </w:tc>
        <w:tc>
          <w:tcPr>
            <w:tcW w:w="6378" w:type="dxa"/>
            <w:vMerge w:val="restart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Примечание</w:t>
            </w:r>
          </w:p>
        </w:tc>
      </w:tr>
      <w:tr w:rsidR="0009035E" w:rsidRPr="00C359CC" w:rsidTr="00DC53A7">
        <w:trPr>
          <w:trHeight w:val="420"/>
        </w:trPr>
        <w:tc>
          <w:tcPr>
            <w:tcW w:w="760" w:type="dxa"/>
            <w:vMerge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925" w:type="dxa"/>
            <w:vMerge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факт</w:t>
            </w:r>
          </w:p>
          <w:p w:rsidR="0009035E" w:rsidRPr="00C359CC" w:rsidRDefault="00323185" w:rsidP="00DC53A7">
            <w:pPr>
              <w:widowControl w:val="0"/>
              <w:jc w:val="center"/>
              <w:rPr>
                <w:bCs/>
                <w:color w:val="000000"/>
              </w:rPr>
            </w:pPr>
            <w:r w:rsidRPr="00C359CC">
              <w:rPr>
                <w:bCs/>
                <w:color w:val="000000"/>
              </w:rPr>
              <w:t>3</w:t>
            </w:r>
            <w:r w:rsidR="0009035E" w:rsidRPr="00C359CC">
              <w:rPr>
                <w:bCs/>
                <w:color w:val="000000"/>
              </w:rPr>
              <w:t xml:space="preserve"> квартал</w:t>
            </w:r>
          </w:p>
        </w:tc>
        <w:tc>
          <w:tcPr>
            <w:tcW w:w="6378" w:type="dxa"/>
            <w:vMerge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09035E" w:rsidRPr="00C359CC" w:rsidTr="00DC53A7">
        <w:trPr>
          <w:trHeight w:val="420"/>
        </w:trPr>
        <w:tc>
          <w:tcPr>
            <w:tcW w:w="760" w:type="dxa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C359CC">
              <w:rPr>
                <w:bCs/>
                <w:i/>
                <w:color w:val="000000"/>
              </w:rPr>
              <w:t>1.</w:t>
            </w:r>
          </w:p>
        </w:tc>
        <w:tc>
          <w:tcPr>
            <w:tcW w:w="14564" w:type="dxa"/>
            <w:gridSpan w:val="4"/>
            <w:hideMark/>
          </w:tcPr>
          <w:p w:rsidR="0009035E" w:rsidRPr="00C359CC" w:rsidRDefault="0009035E" w:rsidP="00DC53A7">
            <w:pPr>
              <w:widowControl w:val="0"/>
              <w:rPr>
                <w:bCs/>
                <w:i/>
                <w:color w:val="000000"/>
              </w:rPr>
            </w:pPr>
            <w:r w:rsidRPr="00C359CC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09035E" w:rsidRPr="00C359CC" w:rsidTr="00DC53A7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0,68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1,</w:t>
            </w:r>
            <w:r w:rsidR="00E540BE" w:rsidRPr="00C359CC">
              <w:t>5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-</w:t>
            </w:r>
          </w:p>
        </w:tc>
      </w:tr>
      <w:tr w:rsidR="0009035E" w:rsidRPr="00C359CC" w:rsidTr="00DC53A7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1.2.</w:t>
            </w:r>
          </w:p>
        </w:tc>
        <w:tc>
          <w:tcPr>
            <w:tcW w:w="4925" w:type="dxa"/>
            <w:shd w:val="clear" w:color="000000" w:fill="FFFFFF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C359CC">
              <w:t>Кванториум</w:t>
            </w:r>
            <w:proofErr w:type="spellEnd"/>
            <w:r w:rsidRPr="00C359CC">
              <w:t>» и центров «</w:t>
            </w:r>
            <w:proofErr w:type="spellStart"/>
            <w:proofErr w:type="gramStart"/>
            <w:r w:rsidRPr="00C359CC">
              <w:t>I</w:t>
            </w:r>
            <w:proofErr w:type="gramEnd"/>
            <w:r w:rsidRPr="00C359CC">
              <w:t>Т-куб</w:t>
            </w:r>
            <w:proofErr w:type="spellEnd"/>
            <w:r w:rsidRPr="00C359CC">
              <w:t>», процент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35,6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9035E" w:rsidRPr="00C359CC" w:rsidRDefault="0009035E" w:rsidP="00E540BE">
            <w:pPr>
              <w:widowControl w:val="0"/>
              <w:jc w:val="center"/>
            </w:pPr>
            <w:r w:rsidRPr="00C359CC">
              <w:t>2</w:t>
            </w:r>
            <w:r w:rsidR="00E540BE" w:rsidRPr="00C359CC">
              <w:t>4</w:t>
            </w:r>
            <w:r w:rsidRPr="00C359CC">
              <w:t>,</w:t>
            </w:r>
            <w:r w:rsidR="00E540BE" w:rsidRPr="00C359CC">
              <w:t>7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09035E" w:rsidRPr="00C359CC" w:rsidTr="00DC53A7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proofErr w:type="gramStart"/>
            <w:r w:rsidRPr="00C359C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</w:t>
            </w:r>
            <w:r w:rsidR="00E540BE" w:rsidRPr="00C359CC">
              <w:t>6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09035E" w:rsidRPr="00C359CC" w:rsidTr="00DC53A7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lastRenderedPageBreak/>
              <w:t>1.4.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-</w:t>
            </w:r>
          </w:p>
        </w:tc>
      </w:tr>
      <w:tr w:rsidR="0009035E" w:rsidRPr="00C359CC" w:rsidTr="00DC53A7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1.5.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86,9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86,</w:t>
            </w:r>
            <w:r w:rsidR="00375926" w:rsidRPr="00C359CC">
              <w:t>7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09035E" w:rsidRPr="00C359CC" w:rsidTr="00DC53A7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1.6.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86,66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86,66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-</w:t>
            </w:r>
          </w:p>
        </w:tc>
      </w:tr>
      <w:tr w:rsidR="0009035E" w:rsidRPr="00C359CC" w:rsidTr="00DC53A7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1.7.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proofErr w:type="gramStart"/>
            <w:r w:rsidRPr="00C359CC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C359CC">
              <w:t>федеральной информационно-сервисной платформы цифровой образовательной среды</w:t>
            </w:r>
            <w:r w:rsidR="00375926" w:rsidRPr="00C359CC">
              <w:t xml:space="preserve"> в четвёртом</w:t>
            </w:r>
            <w:r w:rsidRPr="00C359CC">
              <w:t xml:space="preserve"> квартале 2022 года</w:t>
            </w:r>
          </w:p>
        </w:tc>
      </w:tr>
      <w:tr w:rsidR="0009035E" w:rsidRPr="00C359CC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1.8.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C359CC">
              <w:t xml:space="preserve">федеральной информационно-сервисной платформы цифровой образовательной среды </w:t>
            </w:r>
            <w:r w:rsidR="00375926" w:rsidRPr="00C359CC">
              <w:t xml:space="preserve">в четвёртом </w:t>
            </w:r>
            <w:r w:rsidRPr="00C359CC">
              <w:t>квартале 2022 года</w:t>
            </w:r>
          </w:p>
        </w:tc>
      </w:tr>
      <w:tr w:rsidR="0009035E" w:rsidRPr="00C359CC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1.9.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r w:rsidRPr="00C359CC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C359CC">
              <w:t xml:space="preserve">федеральной информационно-сервисной платформы цифровой образовательной среды </w:t>
            </w:r>
            <w:r w:rsidR="00375926" w:rsidRPr="00C359CC">
              <w:t xml:space="preserve">в четвёртом </w:t>
            </w:r>
            <w:r w:rsidRPr="00C359CC">
              <w:t>квартале 2022 года</w:t>
            </w:r>
          </w:p>
        </w:tc>
      </w:tr>
      <w:tr w:rsidR="0009035E" w:rsidRPr="00C359CC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1.10.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</w:pPr>
            <w:proofErr w:type="gramStart"/>
            <w:r w:rsidRPr="00C359CC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C359CC">
              <w:t>волонтерства</w:t>
            </w:r>
            <w:proofErr w:type="spellEnd"/>
            <w:r w:rsidRPr="00C359CC">
              <w:t xml:space="preserve">) на базе образовательных организаций, </w:t>
            </w:r>
            <w:r w:rsidRPr="00C359CC">
              <w:lastRenderedPageBreak/>
              <w:t>некоммерческих организаций, государственных и муниципальных учреждений, в добровольческую (волонтерскую) деятельность, млн. человек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lastRenderedPageBreak/>
              <w:t>0,0169</w:t>
            </w:r>
          </w:p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(16 900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112452" w:rsidP="00DC53A7">
            <w:pPr>
              <w:widowControl w:val="0"/>
              <w:jc w:val="center"/>
            </w:pPr>
            <w:r w:rsidRPr="00C359CC">
              <w:t>0,0140</w:t>
            </w:r>
          </w:p>
          <w:p w:rsidR="0009035E" w:rsidRPr="00C359CC" w:rsidRDefault="0009035E" w:rsidP="00112452">
            <w:pPr>
              <w:widowControl w:val="0"/>
              <w:jc w:val="center"/>
            </w:pPr>
            <w:r w:rsidRPr="00C359CC">
              <w:t>(</w:t>
            </w:r>
            <w:r w:rsidR="00112452" w:rsidRPr="00C359CC">
              <w:t>13 924</w:t>
            </w:r>
            <w:r w:rsidRPr="00C359CC">
              <w:t xml:space="preserve"> 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09035E" w:rsidRPr="00C359CC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lastRenderedPageBreak/>
              <w:t>1.11.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autoSpaceDE w:val="0"/>
              <w:autoSpaceDN w:val="0"/>
              <w:adjustRightInd w:val="0"/>
              <w:jc w:val="both"/>
            </w:pPr>
            <w:r w:rsidRPr="00C359CC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5,4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100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-</w:t>
            </w:r>
          </w:p>
        </w:tc>
      </w:tr>
      <w:tr w:rsidR="0009035E" w:rsidRPr="00C359CC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1.12.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autoSpaceDE w:val="0"/>
              <w:autoSpaceDN w:val="0"/>
              <w:adjustRightInd w:val="0"/>
              <w:jc w:val="both"/>
            </w:pPr>
            <w:r w:rsidRPr="00C359CC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 xml:space="preserve">7,748 </w:t>
            </w:r>
          </w:p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(7 748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CC671F" w:rsidP="00DC53A7">
            <w:pPr>
              <w:widowControl w:val="0"/>
              <w:jc w:val="center"/>
            </w:pPr>
            <w:r w:rsidRPr="00C359CC">
              <w:t>5</w:t>
            </w:r>
            <w:r w:rsidR="0009035E" w:rsidRPr="00C359CC">
              <w:t>,0</w:t>
            </w:r>
          </w:p>
          <w:p w:rsidR="0009035E" w:rsidRPr="00C359CC" w:rsidRDefault="00CC671F" w:rsidP="00DC53A7">
            <w:pPr>
              <w:widowControl w:val="0"/>
              <w:jc w:val="center"/>
            </w:pPr>
            <w:proofErr w:type="gramStart"/>
            <w:r w:rsidRPr="00C359CC">
              <w:t>(5</w:t>
            </w:r>
            <w:r w:rsidR="006911B5" w:rsidRPr="00C359CC">
              <w:t xml:space="preserve"> </w:t>
            </w:r>
            <w:r w:rsidR="0009035E" w:rsidRPr="00C359CC">
              <w:t>0</w:t>
            </w:r>
            <w:r w:rsidRPr="00C359CC">
              <w:t>00</w:t>
            </w:r>
            <w:r w:rsidR="0009035E" w:rsidRPr="00C359CC">
              <w:t xml:space="preserve"> </w:t>
            </w:r>
            <w:proofErr w:type="gramEnd"/>
          </w:p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 xml:space="preserve">человек) 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09035E" w:rsidRPr="001E1ACD" w:rsidTr="00DC53A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  <w:rPr>
                <w:color w:val="000000"/>
              </w:rPr>
            </w:pPr>
            <w:r w:rsidRPr="00C359CC">
              <w:rPr>
                <w:color w:val="000000"/>
              </w:rPr>
              <w:t>1.13.</w:t>
            </w:r>
          </w:p>
        </w:tc>
        <w:tc>
          <w:tcPr>
            <w:tcW w:w="4925" w:type="dxa"/>
            <w:shd w:val="clear" w:color="auto" w:fill="auto"/>
            <w:hideMark/>
          </w:tcPr>
          <w:p w:rsidR="0009035E" w:rsidRPr="00C359CC" w:rsidRDefault="0009035E" w:rsidP="00DC53A7">
            <w:pPr>
              <w:autoSpaceDE w:val="0"/>
              <w:autoSpaceDN w:val="0"/>
              <w:adjustRightInd w:val="0"/>
              <w:jc w:val="both"/>
            </w:pPr>
            <w:r w:rsidRPr="00C359CC">
              <w:t xml:space="preserve">Создание условий для развития системы </w:t>
            </w:r>
            <w:proofErr w:type="spellStart"/>
            <w:r w:rsidRPr="00C359CC">
              <w:t>межпоколенческого</w:t>
            </w:r>
            <w:proofErr w:type="spellEnd"/>
            <w:r w:rsidRPr="00C359CC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0,454</w:t>
            </w:r>
          </w:p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(454 человека)</w:t>
            </w:r>
          </w:p>
        </w:tc>
        <w:tc>
          <w:tcPr>
            <w:tcW w:w="1701" w:type="dxa"/>
            <w:shd w:val="clear" w:color="auto" w:fill="auto"/>
            <w:hideMark/>
          </w:tcPr>
          <w:p w:rsidR="0009035E" w:rsidRPr="00C359CC" w:rsidRDefault="00CC671F" w:rsidP="00DC53A7">
            <w:pPr>
              <w:widowControl w:val="0"/>
              <w:jc w:val="center"/>
            </w:pPr>
            <w:r w:rsidRPr="00C359CC">
              <w:t>0,34</w:t>
            </w:r>
          </w:p>
          <w:p w:rsidR="0009035E" w:rsidRPr="00C359CC" w:rsidRDefault="00CC671F" w:rsidP="00DC53A7">
            <w:pPr>
              <w:widowControl w:val="0"/>
              <w:jc w:val="center"/>
            </w:pPr>
            <w:proofErr w:type="gramStart"/>
            <w:r w:rsidRPr="00C359CC">
              <w:t>(340</w:t>
            </w:r>
            <w:r w:rsidR="0009035E" w:rsidRPr="00C359CC">
              <w:t xml:space="preserve"> </w:t>
            </w:r>
            <w:proofErr w:type="gramEnd"/>
          </w:p>
          <w:p w:rsidR="0009035E" w:rsidRPr="00C359CC" w:rsidRDefault="0009035E" w:rsidP="00DC53A7">
            <w:pPr>
              <w:widowControl w:val="0"/>
              <w:jc w:val="center"/>
            </w:pPr>
            <w:r w:rsidRPr="00C359CC">
              <w:t>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09035E" w:rsidRPr="00C359CC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09035E" w:rsidRPr="006962C0" w:rsidRDefault="0009035E" w:rsidP="00DC53A7">
            <w:pPr>
              <w:widowControl w:val="0"/>
              <w:jc w:val="both"/>
              <w:rPr>
                <w:color w:val="000000"/>
              </w:rPr>
            </w:pPr>
            <w:r w:rsidRPr="00C359CC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</w:tbl>
    <w:p w:rsidR="0009035E" w:rsidRDefault="0009035E" w:rsidP="0009035E">
      <w:pPr>
        <w:widowControl w:val="0"/>
        <w:jc w:val="center"/>
        <w:rPr>
          <w:sz w:val="28"/>
          <w:szCs w:val="28"/>
        </w:rPr>
      </w:pPr>
    </w:p>
    <w:p w:rsidR="0009035E" w:rsidRDefault="0009035E" w:rsidP="0009035E">
      <w:pPr>
        <w:widowControl w:val="0"/>
        <w:jc w:val="center"/>
        <w:rPr>
          <w:sz w:val="28"/>
          <w:szCs w:val="28"/>
        </w:rPr>
      </w:pPr>
    </w:p>
    <w:p w:rsidR="0009035E" w:rsidRDefault="0009035E" w:rsidP="0009035E">
      <w:pPr>
        <w:widowControl w:val="0"/>
        <w:jc w:val="center"/>
        <w:rPr>
          <w:sz w:val="28"/>
          <w:szCs w:val="28"/>
        </w:rPr>
      </w:pPr>
    </w:p>
    <w:p w:rsidR="0009035E" w:rsidRPr="00B76994" w:rsidRDefault="0009035E" w:rsidP="00B76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sectPr w:rsidR="0009035E" w:rsidRPr="00B76994" w:rsidSect="0009035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6D" w:rsidRDefault="002D3C6D">
      <w:r>
        <w:separator/>
      </w:r>
    </w:p>
  </w:endnote>
  <w:endnote w:type="continuationSeparator" w:id="0">
    <w:p w:rsidR="002D3C6D" w:rsidRDefault="002D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6D" w:rsidRDefault="002D3C6D">
      <w:r>
        <w:separator/>
      </w:r>
    </w:p>
  </w:footnote>
  <w:footnote w:type="continuationSeparator" w:id="0">
    <w:p w:rsidR="002D3C6D" w:rsidRDefault="002D3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46C8"/>
    <w:rsid w:val="00026E08"/>
    <w:rsid w:val="000278C8"/>
    <w:rsid w:val="00030A6B"/>
    <w:rsid w:val="00031F97"/>
    <w:rsid w:val="00032DA1"/>
    <w:rsid w:val="00043DFD"/>
    <w:rsid w:val="00044F0B"/>
    <w:rsid w:val="000468B8"/>
    <w:rsid w:val="0004793E"/>
    <w:rsid w:val="00061FF1"/>
    <w:rsid w:val="00062BDD"/>
    <w:rsid w:val="000713F1"/>
    <w:rsid w:val="000738EF"/>
    <w:rsid w:val="000764E6"/>
    <w:rsid w:val="0008136C"/>
    <w:rsid w:val="0008139B"/>
    <w:rsid w:val="00087565"/>
    <w:rsid w:val="0009035E"/>
    <w:rsid w:val="000B0C30"/>
    <w:rsid w:val="000B3088"/>
    <w:rsid w:val="000B7E49"/>
    <w:rsid w:val="000C3C30"/>
    <w:rsid w:val="000C4B3D"/>
    <w:rsid w:val="000C60BF"/>
    <w:rsid w:val="000C77F2"/>
    <w:rsid w:val="000D29EA"/>
    <w:rsid w:val="000D5F00"/>
    <w:rsid w:val="000E03AB"/>
    <w:rsid w:val="000E0FA1"/>
    <w:rsid w:val="000E1722"/>
    <w:rsid w:val="000E464A"/>
    <w:rsid w:val="000F1AC3"/>
    <w:rsid w:val="00112452"/>
    <w:rsid w:val="001164B0"/>
    <w:rsid w:val="001179BB"/>
    <w:rsid w:val="00120FD7"/>
    <w:rsid w:val="001359EF"/>
    <w:rsid w:val="0016150E"/>
    <w:rsid w:val="00167114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0BE3"/>
    <w:rsid w:val="001C13F1"/>
    <w:rsid w:val="001C2147"/>
    <w:rsid w:val="001C4273"/>
    <w:rsid w:val="001D75ED"/>
    <w:rsid w:val="001E4610"/>
    <w:rsid w:val="001F2836"/>
    <w:rsid w:val="001F2899"/>
    <w:rsid w:val="00206C8E"/>
    <w:rsid w:val="00213CFD"/>
    <w:rsid w:val="00217542"/>
    <w:rsid w:val="00244F43"/>
    <w:rsid w:val="00250C40"/>
    <w:rsid w:val="00255411"/>
    <w:rsid w:val="00256A54"/>
    <w:rsid w:val="00260D26"/>
    <w:rsid w:val="00262BED"/>
    <w:rsid w:val="00265A99"/>
    <w:rsid w:val="00265BA5"/>
    <w:rsid w:val="00267749"/>
    <w:rsid w:val="00267956"/>
    <w:rsid w:val="00270772"/>
    <w:rsid w:val="00270890"/>
    <w:rsid w:val="00272CF5"/>
    <w:rsid w:val="002778A8"/>
    <w:rsid w:val="00281932"/>
    <w:rsid w:val="00282E4A"/>
    <w:rsid w:val="00287C27"/>
    <w:rsid w:val="00296923"/>
    <w:rsid w:val="002A012E"/>
    <w:rsid w:val="002A74DB"/>
    <w:rsid w:val="002B1A23"/>
    <w:rsid w:val="002B1EC5"/>
    <w:rsid w:val="002B51DF"/>
    <w:rsid w:val="002B6E90"/>
    <w:rsid w:val="002B7190"/>
    <w:rsid w:val="002C5A6D"/>
    <w:rsid w:val="002D3C6D"/>
    <w:rsid w:val="002E0B44"/>
    <w:rsid w:val="002E18D0"/>
    <w:rsid w:val="002E6843"/>
    <w:rsid w:val="003015DF"/>
    <w:rsid w:val="00323185"/>
    <w:rsid w:val="00331619"/>
    <w:rsid w:val="00331C07"/>
    <w:rsid w:val="0033277D"/>
    <w:rsid w:val="00333339"/>
    <w:rsid w:val="0033734C"/>
    <w:rsid w:val="00342179"/>
    <w:rsid w:val="003424BB"/>
    <w:rsid w:val="0034655F"/>
    <w:rsid w:val="00357CCB"/>
    <w:rsid w:val="00360817"/>
    <w:rsid w:val="003648DC"/>
    <w:rsid w:val="00365791"/>
    <w:rsid w:val="00367132"/>
    <w:rsid w:val="00375926"/>
    <w:rsid w:val="00383AC1"/>
    <w:rsid w:val="00396F86"/>
    <w:rsid w:val="00397568"/>
    <w:rsid w:val="003A076D"/>
    <w:rsid w:val="003B0E1D"/>
    <w:rsid w:val="003B10F0"/>
    <w:rsid w:val="003B426C"/>
    <w:rsid w:val="003B6D4E"/>
    <w:rsid w:val="003B725A"/>
    <w:rsid w:val="003C5067"/>
    <w:rsid w:val="003E2A3E"/>
    <w:rsid w:val="003E4E4B"/>
    <w:rsid w:val="003F73CB"/>
    <w:rsid w:val="003F780E"/>
    <w:rsid w:val="00400AC8"/>
    <w:rsid w:val="00414E90"/>
    <w:rsid w:val="00415188"/>
    <w:rsid w:val="004179D1"/>
    <w:rsid w:val="004215CA"/>
    <w:rsid w:val="00423BCF"/>
    <w:rsid w:val="00427290"/>
    <w:rsid w:val="004367A3"/>
    <w:rsid w:val="00436AED"/>
    <w:rsid w:val="00437B01"/>
    <w:rsid w:val="00444837"/>
    <w:rsid w:val="00444FAB"/>
    <w:rsid w:val="00447BE5"/>
    <w:rsid w:val="00456F9A"/>
    <w:rsid w:val="00463D76"/>
    <w:rsid w:val="004644AE"/>
    <w:rsid w:val="004701DA"/>
    <w:rsid w:val="00470F8C"/>
    <w:rsid w:val="00474F08"/>
    <w:rsid w:val="004812A5"/>
    <w:rsid w:val="00482CB2"/>
    <w:rsid w:val="00483358"/>
    <w:rsid w:val="00486552"/>
    <w:rsid w:val="00491015"/>
    <w:rsid w:val="00496ACF"/>
    <w:rsid w:val="004A4D16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65A2C"/>
    <w:rsid w:val="00574552"/>
    <w:rsid w:val="00575668"/>
    <w:rsid w:val="00591B7A"/>
    <w:rsid w:val="005A3454"/>
    <w:rsid w:val="005C033C"/>
    <w:rsid w:val="005C3847"/>
    <w:rsid w:val="005E38D8"/>
    <w:rsid w:val="005E3BD9"/>
    <w:rsid w:val="005E649B"/>
    <w:rsid w:val="005F023A"/>
    <w:rsid w:val="005F3659"/>
    <w:rsid w:val="006037A5"/>
    <w:rsid w:val="0060654C"/>
    <w:rsid w:val="0060691C"/>
    <w:rsid w:val="00611FF7"/>
    <w:rsid w:val="00612373"/>
    <w:rsid w:val="00612934"/>
    <w:rsid w:val="00614B50"/>
    <w:rsid w:val="006213B9"/>
    <w:rsid w:val="00621949"/>
    <w:rsid w:val="006241EC"/>
    <w:rsid w:val="00631992"/>
    <w:rsid w:val="00634B52"/>
    <w:rsid w:val="00641FB7"/>
    <w:rsid w:val="0066004A"/>
    <w:rsid w:val="0066329F"/>
    <w:rsid w:val="0066410A"/>
    <w:rsid w:val="00671DA6"/>
    <w:rsid w:val="0067613F"/>
    <w:rsid w:val="00676922"/>
    <w:rsid w:val="00681B72"/>
    <w:rsid w:val="006911B5"/>
    <w:rsid w:val="00693BC3"/>
    <w:rsid w:val="00695601"/>
    <w:rsid w:val="006962C0"/>
    <w:rsid w:val="006A485B"/>
    <w:rsid w:val="006B3BE3"/>
    <w:rsid w:val="006C038D"/>
    <w:rsid w:val="006C1338"/>
    <w:rsid w:val="006C1B8B"/>
    <w:rsid w:val="006C508D"/>
    <w:rsid w:val="006C68DE"/>
    <w:rsid w:val="006D0984"/>
    <w:rsid w:val="006D0F50"/>
    <w:rsid w:val="006D15F6"/>
    <w:rsid w:val="006D63CE"/>
    <w:rsid w:val="006E05BC"/>
    <w:rsid w:val="006E106B"/>
    <w:rsid w:val="006E1FCF"/>
    <w:rsid w:val="006F18DC"/>
    <w:rsid w:val="0070391A"/>
    <w:rsid w:val="00722849"/>
    <w:rsid w:val="00722E75"/>
    <w:rsid w:val="0072453A"/>
    <w:rsid w:val="007257C7"/>
    <w:rsid w:val="0073596C"/>
    <w:rsid w:val="007373E1"/>
    <w:rsid w:val="00740A49"/>
    <w:rsid w:val="00746361"/>
    <w:rsid w:val="0075355A"/>
    <w:rsid w:val="0075422A"/>
    <w:rsid w:val="007549C7"/>
    <w:rsid w:val="00756193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6C0A"/>
    <w:rsid w:val="007A60D3"/>
    <w:rsid w:val="007B294D"/>
    <w:rsid w:val="007B6F5C"/>
    <w:rsid w:val="007B7E9E"/>
    <w:rsid w:val="007C31DC"/>
    <w:rsid w:val="007D3868"/>
    <w:rsid w:val="007D6B2C"/>
    <w:rsid w:val="007E1D76"/>
    <w:rsid w:val="007E2584"/>
    <w:rsid w:val="007E324C"/>
    <w:rsid w:val="007E51DB"/>
    <w:rsid w:val="007E769F"/>
    <w:rsid w:val="007F54FF"/>
    <w:rsid w:val="007F770B"/>
    <w:rsid w:val="00801B46"/>
    <w:rsid w:val="008077DE"/>
    <w:rsid w:val="00807FC7"/>
    <w:rsid w:val="0081109C"/>
    <w:rsid w:val="00814217"/>
    <w:rsid w:val="00816FFB"/>
    <w:rsid w:val="00817E65"/>
    <w:rsid w:val="0082410E"/>
    <w:rsid w:val="008242EA"/>
    <w:rsid w:val="00825491"/>
    <w:rsid w:val="0083181A"/>
    <w:rsid w:val="00832880"/>
    <w:rsid w:val="008438F3"/>
    <w:rsid w:val="00844706"/>
    <w:rsid w:val="008535D4"/>
    <w:rsid w:val="0085704E"/>
    <w:rsid w:val="00872CD2"/>
    <w:rsid w:val="00883EFF"/>
    <w:rsid w:val="008A09A2"/>
    <w:rsid w:val="008A0A22"/>
    <w:rsid w:val="008B1385"/>
    <w:rsid w:val="008B6427"/>
    <w:rsid w:val="008C0162"/>
    <w:rsid w:val="008C16F8"/>
    <w:rsid w:val="008C6643"/>
    <w:rsid w:val="008E0FB8"/>
    <w:rsid w:val="008E285C"/>
    <w:rsid w:val="008F18B2"/>
    <w:rsid w:val="009039FB"/>
    <w:rsid w:val="00910ECA"/>
    <w:rsid w:val="00911613"/>
    <w:rsid w:val="00911FB0"/>
    <w:rsid w:val="009176CC"/>
    <w:rsid w:val="009331D1"/>
    <w:rsid w:val="00944872"/>
    <w:rsid w:val="009503FD"/>
    <w:rsid w:val="00954370"/>
    <w:rsid w:val="00957F84"/>
    <w:rsid w:val="00963C0F"/>
    <w:rsid w:val="00972F86"/>
    <w:rsid w:val="009734E2"/>
    <w:rsid w:val="009819FE"/>
    <w:rsid w:val="00982A5C"/>
    <w:rsid w:val="0098323C"/>
    <w:rsid w:val="00984CBE"/>
    <w:rsid w:val="00987B9D"/>
    <w:rsid w:val="00995DB9"/>
    <w:rsid w:val="00996F5F"/>
    <w:rsid w:val="00997D80"/>
    <w:rsid w:val="009A6D30"/>
    <w:rsid w:val="009A788E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9F16D8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B2FDD"/>
    <w:rsid w:val="00AC64E9"/>
    <w:rsid w:val="00AD09F7"/>
    <w:rsid w:val="00AD19B7"/>
    <w:rsid w:val="00AD1D96"/>
    <w:rsid w:val="00AF6982"/>
    <w:rsid w:val="00B03B49"/>
    <w:rsid w:val="00B06979"/>
    <w:rsid w:val="00B131B3"/>
    <w:rsid w:val="00B169BA"/>
    <w:rsid w:val="00B20E93"/>
    <w:rsid w:val="00B232F2"/>
    <w:rsid w:val="00B309F2"/>
    <w:rsid w:val="00B324D0"/>
    <w:rsid w:val="00B32D00"/>
    <w:rsid w:val="00B36AA3"/>
    <w:rsid w:val="00B41CEC"/>
    <w:rsid w:val="00B457B4"/>
    <w:rsid w:val="00B53BC0"/>
    <w:rsid w:val="00B53D20"/>
    <w:rsid w:val="00B62AF5"/>
    <w:rsid w:val="00B6504C"/>
    <w:rsid w:val="00B65B47"/>
    <w:rsid w:val="00B73FFE"/>
    <w:rsid w:val="00B76994"/>
    <w:rsid w:val="00B8321D"/>
    <w:rsid w:val="00B94D8A"/>
    <w:rsid w:val="00B951F8"/>
    <w:rsid w:val="00BA42CB"/>
    <w:rsid w:val="00BA462B"/>
    <w:rsid w:val="00BB06B4"/>
    <w:rsid w:val="00BB13FC"/>
    <w:rsid w:val="00BB47E2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23B1"/>
    <w:rsid w:val="00C1374D"/>
    <w:rsid w:val="00C15E1C"/>
    <w:rsid w:val="00C204ED"/>
    <w:rsid w:val="00C21D4C"/>
    <w:rsid w:val="00C222D6"/>
    <w:rsid w:val="00C2633E"/>
    <w:rsid w:val="00C2670B"/>
    <w:rsid w:val="00C30EFE"/>
    <w:rsid w:val="00C31DBD"/>
    <w:rsid w:val="00C3257D"/>
    <w:rsid w:val="00C34CF3"/>
    <w:rsid w:val="00C359CC"/>
    <w:rsid w:val="00C36340"/>
    <w:rsid w:val="00C40D98"/>
    <w:rsid w:val="00C42AAA"/>
    <w:rsid w:val="00C4393E"/>
    <w:rsid w:val="00C46D42"/>
    <w:rsid w:val="00C54C6F"/>
    <w:rsid w:val="00C563AE"/>
    <w:rsid w:val="00C61D2C"/>
    <w:rsid w:val="00C6510F"/>
    <w:rsid w:val="00C863AD"/>
    <w:rsid w:val="00CA03CB"/>
    <w:rsid w:val="00CA084B"/>
    <w:rsid w:val="00CC1145"/>
    <w:rsid w:val="00CC32B4"/>
    <w:rsid w:val="00CC4FE0"/>
    <w:rsid w:val="00CC671F"/>
    <w:rsid w:val="00CC6A75"/>
    <w:rsid w:val="00CC7F2B"/>
    <w:rsid w:val="00CD4DE7"/>
    <w:rsid w:val="00CE077A"/>
    <w:rsid w:val="00CE1B12"/>
    <w:rsid w:val="00CE325B"/>
    <w:rsid w:val="00CE6BFF"/>
    <w:rsid w:val="00CF3C59"/>
    <w:rsid w:val="00D005DB"/>
    <w:rsid w:val="00D0787E"/>
    <w:rsid w:val="00D2442D"/>
    <w:rsid w:val="00D268A1"/>
    <w:rsid w:val="00D26937"/>
    <w:rsid w:val="00D27C42"/>
    <w:rsid w:val="00D31488"/>
    <w:rsid w:val="00D31D93"/>
    <w:rsid w:val="00D31FCD"/>
    <w:rsid w:val="00D40725"/>
    <w:rsid w:val="00D42621"/>
    <w:rsid w:val="00D43CF2"/>
    <w:rsid w:val="00D46301"/>
    <w:rsid w:val="00D5005D"/>
    <w:rsid w:val="00D54B57"/>
    <w:rsid w:val="00D5515B"/>
    <w:rsid w:val="00D5541D"/>
    <w:rsid w:val="00D638A3"/>
    <w:rsid w:val="00D65C75"/>
    <w:rsid w:val="00D679E4"/>
    <w:rsid w:val="00D7231C"/>
    <w:rsid w:val="00D822AB"/>
    <w:rsid w:val="00D91806"/>
    <w:rsid w:val="00D9376A"/>
    <w:rsid w:val="00DA0AFA"/>
    <w:rsid w:val="00DA33EB"/>
    <w:rsid w:val="00DA52E7"/>
    <w:rsid w:val="00DA6DDB"/>
    <w:rsid w:val="00DC082F"/>
    <w:rsid w:val="00DC69CD"/>
    <w:rsid w:val="00DD1C80"/>
    <w:rsid w:val="00DD3D0A"/>
    <w:rsid w:val="00DD47CC"/>
    <w:rsid w:val="00DE32BD"/>
    <w:rsid w:val="00DF001F"/>
    <w:rsid w:val="00DF1BFF"/>
    <w:rsid w:val="00DF2AD4"/>
    <w:rsid w:val="00DF56E8"/>
    <w:rsid w:val="00DF5BE6"/>
    <w:rsid w:val="00DF629C"/>
    <w:rsid w:val="00E0530E"/>
    <w:rsid w:val="00E10BD4"/>
    <w:rsid w:val="00E12378"/>
    <w:rsid w:val="00E14437"/>
    <w:rsid w:val="00E446D1"/>
    <w:rsid w:val="00E47DD5"/>
    <w:rsid w:val="00E540BE"/>
    <w:rsid w:val="00E549CB"/>
    <w:rsid w:val="00E60EA1"/>
    <w:rsid w:val="00E8452B"/>
    <w:rsid w:val="00E86353"/>
    <w:rsid w:val="00E902D5"/>
    <w:rsid w:val="00E929FE"/>
    <w:rsid w:val="00EA47B6"/>
    <w:rsid w:val="00EA6C4C"/>
    <w:rsid w:val="00EA7EC6"/>
    <w:rsid w:val="00EA7F4E"/>
    <w:rsid w:val="00EC70C3"/>
    <w:rsid w:val="00ED0D01"/>
    <w:rsid w:val="00ED1EF1"/>
    <w:rsid w:val="00EE0F9F"/>
    <w:rsid w:val="00EE6E9E"/>
    <w:rsid w:val="00EF2580"/>
    <w:rsid w:val="00EF6838"/>
    <w:rsid w:val="00EF7C64"/>
    <w:rsid w:val="00F041B1"/>
    <w:rsid w:val="00F153E6"/>
    <w:rsid w:val="00F15D53"/>
    <w:rsid w:val="00F26672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75C25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2710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markedcontent">
    <w:name w:val="markedcontent"/>
    <w:basedOn w:val="a0"/>
    <w:rsid w:val="00C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5A9D-3295-40CE-BB09-FCA6B3E3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25952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349</cp:revision>
  <cp:lastPrinted>2022-09-23T05:56:00Z</cp:lastPrinted>
  <dcterms:created xsi:type="dcterms:W3CDTF">2019-05-16T11:40:00Z</dcterms:created>
  <dcterms:modified xsi:type="dcterms:W3CDTF">2022-09-30T07:15:00Z</dcterms:modified>
</cp:coreProperties>
</file>