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E37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C1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572" w:type="dxa"/>
        <w:tblLayout w:type="fixed"/>
        <w:tblLook w:val="04A0" w:firstRow="1" w:lastRow="0" w:firstColumn="1" w:lastColumn="0" w:noHBand="0" w:noVBand="1"/>
      </w:tblPr>
      <w:tblGrid>
        <w:gridCol w:w="4770"/>
        <w:gridCol w:w="4802"/>
      </w:tblGrid>
      <w:tr w:rsidR="00C47B1F" w:rsidTr="0086045F">
        <w:trPr>
          <w:trHeight w:val="499"/>
        </w:trPr>
        <w:tc>
          <w:tcPr>
            <w:tcW w:w="4770" w:type="dxa"/>
          </w:tcPr>
          <w:p w:rsidR="00FA51C1" w:rsidRDefault="00023A5D" w:rsidP="007E3C5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0B3860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190BC3">
              <w:rPr>
                <w:sz w:val="28"/>
              </w:rPr>
              <w:t xml:space="preserve"> </w:t>
            </w:r>
            <w:r w:rsidR="007E3C54">
              <w:rPr>
                <w:sz w:val="28"/>
              </w:rPr>
              <w:t>274-1</w:t>
            </w:r>
            <w:r w:rsidR="00190BC3">
              <w:rPr>
                <w:sz w:val="28"/>
              </w:rPr>
              <w:t xml:space="preserve">  от 19</w:t>
            </w:r>
            <w:r w:rsidR="009E5C35">
              <w:rPr>
                <w:sz w:val="28"/>
              </w:rPr>
              <w:t>.07</w:t>
            </w:r>
            <w:r>
              <w:rPr>
                <w:sz w:val="28"/>
              </w:rPr>
              <w:t>.2021</w:t>
            </w:r>
          </w:p>
        </w:tc>
        <w:tc>
          <w:tcPr>
            <w:tcW w:w="4802" w:type="dxa"/>
          </w:tcPr>
          <w:p w:rsidR="008426B3" w:rsidRDefault="008426B3" w:rsidP="00C926B7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Pr="00B10F4B" w:rsidRDefault="00D55BF1" w:rsidP="00B10F4B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795456" w:rsidRPr="00B10F4B">
        <w:rPr>
          <w:sz w:val="28"/>
        </w:rPr>
        <w:t>Таблиц</w:t>
      </w:r>
      <w:r w:rsidR="00B10F4B">
        <w:rPr>
          <w:sz w:val="28"/>
        </w:rPr>
        <w:t>у</w:t>
      </w:r>
      <w:r w:rsidR="00F2110F" w:rsidRPr="00B10F4B">
        <w:rPr>
          <w:sz w:val="28"/>
        </w:rPr>
        <w:t xml:space="preserve"> </w:t>
      </w:r>
      <w:r w:rsidR="000B3860" w:rsidRPr="00B10F4B">
        <w:rPr>
          <w:sz w:val="28"/>
        </w:rPr>
        <w:t>2</w:t>
      </w:r>
      <w:r w:rsidR="000B3860">
        <w:rPr>
          <w:sz w:val="28"/>
        </w:rPr>
        <w:t xml:space="preserve"> </w:t>
      </w:r>
      <w:r w:rsidR="000B3860" w:rsidRPr="00B10F4B">
        <w:rPr>
          <w:sz w:val="28"/>
        </w:rPr>
        <w:t>муниципальной</w:t>
      </w:r>
      <w:r w:rsidR="00795456" w:rsidRPr="00B10F4B">
        <w:rPr>
          <w:sz w:val="28"/>
        </w:rPr>
        <w:t xml:space="preserve"> программы изложить в новой редакции.</w:t>
      </w:r>
    </w:p>
    <w:p w:rsidR="000F2F70" w:rsidRDefault="004955E3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>программы</w:t>
      </w:r>
      <w:r w:rsidR="000F2F70" w:rsidRPr="000F2F70">
        <w:t xml:space="preserve"> </w:t>
      </w:r>
      <w:r w:rsidR="000F2F70" w:rsidRPr="000F2F70">
        <w:rPr>
          <w:sz w:val="28"/>
        </w:rPr>
        <w:t>по ответственному исполнителю департаменту муниципального имущества администрации города Нефтеюганска</w:t>
      </w:r>
      <w:r w:rsidR="000F2F70" w:rsidRPr="000F2F70">
        <w:t xml:space="preserve"> </w:t>
      </w:r>
      <w:r w:rsidR="000F2F70" w:rsidRPr="000F2F70">
        <w:rPr>
          <w:sz w:val="28"/>
        </w:rPr>
        <w:t>за счёт средств местного бюджета в 2021 году</w:t>
      </w:r>
      <w:r w:rsidR="000F2F70">
        <w:rPr>
          <w:sz w:val="28"/>
        </w:rPr>
        <w:t>:</w:t>
      </w:r>
    </w:p>
    <w:p w:rsidR="000F2F70" w:rsidRDefault="000F2F70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D55BF1">
        <w:rPr>
          <w:sz w:val="28"/>
        </w:rPr>
        <w:t xml:space="preserve"> </w:t>
      </w:r>
      <w:r w:rsidR="000B3860" w:rsidRPr="000F2F70">
        <w:rPr>
          <w:sz w:val="28"/>
        </w:rPr>
        <w:t>уменьшить финансовое</w:t>
      </w:r>
      <w:r w:rsidRPr="000F2F70">
        <w:rPr>
          <w:sz w:val="28"/>
        </w:rPr>
        <w:t xml:space="preserve"> обеспечение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402D9E" w:rsidRPr="00402D9E">
        <w:rPr>
          <w:sz w:val="28"/>
        </w:rPr>
        <w:t>1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402D9E" w:rsidRPr="00402D9E">
        <w:rPr>
          <w:sz w:val="28"/>
          <w:szCs w:val="28"/>
        </w:rPr>
        <w:t>Управление и распоряжение муниципальным имуществом города Нефтеюганска</w:t>
      </w:r>
      <w:r w:rsidR="002E73C1" w:rsidRPr="00402D9E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 w:rsidR="00554006">
        <w:rPr>
          <w:sz w:val="28"/>
        </w:rPr>
        <w:t>на</w:t>
      </w:r>
      <w:r w:rsidR="00D55BF1" w:rsidRPr="0075508D">
        <w:rPr>
          <w:sz w:val="28"/>
        </w:rPr>
        <w:t xml:space="preserve"> сумм</w:t>
      </w:r>
      <w:r w:rsidR="00554006">
        <w:rPr>
          <w:sz w:val="28"/>
        </w:rPr>
        <w:t>у</w:t>
      </w:r>
      <w:r w:rsidR="00D55BF1" w:rsidRPr="0075508D">
        <w:rPr>
          <w:sz w:val="28"/>
        </w:rPr>
        <w:t xml:space="preserve"> </w:t>
      </w:r>
      <w:r>
        <w:rPr>
          <w:sz w:val="28"/>
        </w:rPr>
        <w:t>543</w:t>
      </w:r>
      <w:r w:rsidR="00190BC3">
        <w:rPr>
          <w:sz w:val="28"/>
        </w:rPr>
        <w:t>,</w:t>
      </w:r>
      <w:r>
        <w:rPr>
          <w:sz w:val="28"/>
        </w:rPr>
        <w:t>278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>
        <w:rPr>
          <w:sz w:val="28"/>
        </w:rPr>
        <w:t>;</w:t>
      </w:r>
      <w:bookmarkStart w:id="0" w:name="_GoBack"/>
      <w:bookmarkEnd w:id="0"/>
    </w:p>
    <w:p w:rsidR="00330BF2" w:rsidRPr="000F2F70" w:rsidRDefault="000F2F70" w:rsidP="000F2F70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6045F" w:rsidRPr="000F2F70">
        <w:rPr>
          <w:sz w:val="28"/>
        </w:rPr>
        <w:t>у</w:t>
      </w:r>
      <w:r w:rsidR="0086045F">
        <w:rPr>
          <w:sz w:val="28"/>
        </w:rPr>
        <w:t>величи</w:t>
      </w:r>
      <w:r w:rsidR="0086045F" w:rsidRPr="000F2F70">
        <w:rPr>
          <w:sz w:val="28"/>
        </w:rPr>
        <w:t>ть финансовое</w:t>
      </w:r>
      <w:r w:rsidRPr="000F2F70">
        <w:rPr>
          <w:sz w:val="28"/>
        </w:rPr>
        <w:t xml:space="preserve"> обеспечение </w:t>
      </w:r>
      <w:r>
        <w:rPr>
          <w:sz w:val="28"/>
        </w:rPr>
        <w:t>по мероприятию 2</w:t>
      </w:r>
      <w:r w:rsidRPr="000F2F70">
        <w:rPr>
          <w:sz w:val="28"/>
        </w:rPr>
        <w:t xml:space="preserve"> «</w:t>
      </w:r>
      <w:r>
        <w:rPr>
          <w:sz w:val="28"/>
        </w:rPr>
        <w:t>Обеспечение деятельности департамента муниципального имущества администрации города Нефтеюганска» на сумму 543</w:t>
      </w:r>
      <w:r w:rsidR="00190BC3">
        <w:rPr>
          <w:sz w:val="28"/>
        </w:rPr>
        <w:t>,</w:t>
      </w:r>
      <w:r w:rsidR="004955E3">
        <w:rPr>
          <w:sz w:val="28"/>
        </w:rPr>
        <w:t>278</w:t>
      </w:r>
      <w:r>
        <w:rPr>
          <w:sz w:val="28"/>
        </w:rPr>
        <w:t xml:space="preserve"> тыс. рублей </w:t>
      </w:r>
      <w:r w:rsidR="00330BF2" w:rsidRPr="000F2F70">
        <w:rPr>
          <w:sz w:val="28"/>
        </w:rPr>
        <w:t xml:space="preserve">на </w:t>
      </w:r>
      <w:r>
        <w:rPr>
          <w:sz w:val="28"/>
        </w:rPr>
        <w:t>услуг</w:t>
      </w:r>
      <w:r w:rsidR="004250A8">
        <w:rPr>
          <w:sz w:val="28"/>
        </w:rPr>
        <w:t>и</w:t>
      </w:r>
      <w:r>
        <w:rPr>
          <w:sz w:val="28"/>
        </w:rPr>
        <w:t xml:space="preserve"> по технической защите и а</w:t>
      </w:r>
      <w:r w:rsidR="00F27B35">
        <w:rPr>
          <w:sz w:val="28"/>
        </w:rPr>
        <w:t>ттестации информационных систем</w:t>
      </w:r>
      <w:r>
        <w:rPr>
          <w:sz w:val="28"/>
        </w:rPr>
        <w:t xml:space="preserve"> персональных данных</w:t>
      </w:r>
      <w:r w:rsidR="00330BF2" w:rsidRPr="000F2F70">
        <w:rPr>
          <w:sz w:val="28"/>
        </w:rPr>
        <w:t>.</w:t>
      </w:r>
    </w:p>
    <w:p w:rsid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271303" w:rsidRPr="0017770C" w:rsidRDefault="00271303" w:rsidP="0017770C">
      <w:pPr>
        <w:tabs>
          <w:tab w:val="left" w:pos="0"/>
        </w:tabs>
        <w:ind w:firstLine="709"/>
        <w:jc w:val="both"/>
        <w:rPr>
          <w:sz w:val="28"/>
        </w:rPr>
      </w:pP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C414FF" w:rsidRDefault="00C414FF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86045F" w:rsidRDefault="0086045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инс</w:t>
      </w:r>
      <w:r w:rsidR="00271303">
        <w:rPr>
          <w:sz w:val="18"/>
          <w:szCs w:val="18"/>
        </w:rPr>
        <w:t>пектор инспекторского отдела № 2</w:t>
      </w:r>
      <w:r w:rsidRPr="00330BF2">
        <w:rPr>
          <w:sz w:val="18"/>
          <w:szCs w:val="18"/>
        </w:rPr>
        <w:t xml:space="preserve">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271303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Найдёнова Юлия</w:t>
      </w:r>
      <w:r w:rsidR="00486C6D" w:rsidRPr="00330BF2">
        <w:rPr>
          <w:sz w:val="18"/>
          <w:szCs w:val="18"/>
        </w:rPr>
        <w:t xml:space="preserve"> Николаевна</w:t>
      </w:r>
    </w:p>
    <w:p w:rsidR="00486C6D" w:rsidRPr="00330BF2" w:rsidRDefault="00271303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Тел. 8(</w:t>
      </w:r>
      <w:r w:rsidR="00486C6D" w:rsidRPr="00330BF2">
        <w:rPr>
          <w:sz w:val="18"/>
          <w:szCs w:val="18"/>
        </w:rPr>
        <w:t>3463</w:t>
      </w:r>
      <w:r>
        <w:rPr>
          <w:sz w:val="18"/>
          <w:szCs w:val="18"/>
        </w:rPr>
        <w:t>)20-39-48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1B" w:rsidRDefault="00E4041B">
      <w:r>
        <w:separator/>
      </w:r>
    </w:p>
  </w:endnote>
  <w:endnote w:type="continuationSeparator" w:id="0">
    <w:p w:rsidR="00E4041B" w:rsidRDefault="00E4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1B" w:rsidRDefault="00E4041B">
      <w:r>
        <w:separator/>
      </w:r>
    </w:p>
  </w:footnote>
  <w:footnote w:type="continuationSeparator" w:id="0">
    <w:p w:rsidR="00E4041B" w:rsidRDefault="00E4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386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3A5D"/>
    <w:rsid w:val="00027754"/>
    <w:rsid w:val="0006192B"/>
    <w:rsid w:val="00066861"/>
    <w:rsid w:val="0007428C"/>
    <w:rsid w:val="0008372A"/>
    <w:rsid w:val="000B3860"/>
    <w:rsid w:val="000F2F70"/>
    <w:rsid w:val="001058DF"/>
    <w:rsid w:val="00113829"/>
    <w:rsid w:val="00141729"/>
    <w:rsid w:val="001662BE"/>
    <w:rsid w:val="00172A27"/>
    <w:rsid w:val="0017770C"/>
    <w:rsid w:val="00190BC3"/>
    <w:rsid w:val="001B0675"/>
    <w:rsid w:val="00255A59"/>
    <w:rsid w:val="002615B3"/>
    <w:rsid w:val="00271303"/>
    <w:rsid w:val="00292632"/>
    <w:rsid w:val="002E73C1"/>
    <w:rsid w:val="00307F21"/>
    <w:rsid w:val="00330BF2"/>
    <w:rsid w:val="003378C7"/>
    <w:rsid w:val="00352CBF"/>
    <w:rsid w:val="00360AB0"/>
    <w:rsid w:val="003C3FFD"/>
    <w:rsid w:val="00402D9E"/>
    <w:rsid w:val="00406D99"/>
    <w:rsid w:val="0041652A"/>
    <w:rsid w:val="004250A8"/>
    <w:rsid w:val="00486C6D"/>
    <w:rsid w:val="004955E3"/>
    <w:rsid w:val="00554006"/>
    <w:rsid w:val="00594425"/>
    <w:rsid w:val="00605A6E"/>
    <w:rsid w:val="00671B5A"/>
    <w:rsid w:val="0075508D"/>
    <w:rsid w:val="00795456"/>
    <w:rsid w:val="007E2BA1"/>
    <w:rsid w:val="007E3C54"/>
    <w:rsid w:val="00805908"/>
    <w:rsid w:val="008426B3"/>
    <w:rsid w:val="0086045F"/>
    <w:rsid w:val="008638AC"/>
    <w:rsid w:val="00881315"/>
    <w:rsid w:val="008D55AF"/>
    <w:rsid w:val="009A1CEB"/>
    <w:rsid w:val="009B224B"/>
    <w:rsid w:val="009B4F69"/>
    <w:rsid w:val="009C36D7"/>
    <w:rsid w:val="009E5C35"/>
    <w:rsid w:val="00A25EEB"/>
    <w:rsid w:val="00A90245"/>
    <w:rsid w:val="00AE1BFC"/>
    <w:rsid w:val="00B06E84"/>
    <w:rsid w:val="00B10F4B"/>
    <w:rsid w:val="00B92D36"/>
    <w:rsid w:val="00BA6B76"/>
    <w:rsid w:val="00BF4A05"/>
    <w:rsid w:val="00C31000"/>
    <w:rsid w:val="00C414FF"/>
    <w:rsid w:val="00C47B1F"/>
    <w:rsid w:val="00C926B7"/>
    <w:rsid w:val="00CD0341"/>
    <w:rsid w:val="00D55BF1"/>
    <w:rsid w:val="00DC0B9D"/>
    <w:rsid w:val="00E4041B"/>
    <w:rsid w:val="00E676F8"/>
    <w:rsid w:val="00F2110F"/>
    <w:rsid w:val="00F24994"/>
    <w:rsid w:val="00F27B35"/>
    <w:rsid w:val="00F655AE"/>
    <w:rsid w:val="00FA51C1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5526"/>
  <w15:docId w15:val="{967F17C9-6AF0-4D21-8117-6F1DA04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20</cp:revision>
  <cp:lastPrinted>2021-07-19T06:46:00Z</cp:lastPrinted>
  <dcterms:created xsi:type="dcterms:W3CDTF">2021-04-14T08:32:00Z</dcterms:created>
  <dcterms:modified xsi:type="dcterms:W3CDTF">2021-07-26T14:04:00Z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