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CDE" w:rsidRPr="00311CDE" w:rsidRDefault="00311CDE" w:rsidP="00311C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DE">
        <w:rPr>
          <w:rFonts w:ascii="Times New Roman" w:hAnsi="Times New Roman" w:cs="Times New Roman"/>
          <w:b/>
          <w:sz w:val="28"/>
          <w:szCs w:val="28"/>
        </w:rPr>
        <w:t>Информация о реализации подведомственными учреждениями культуры «Комплексного плана противодействия идеологии терроризма в городе Нефтеюганске на 2019-2023 годы» за 2020 год</w:t>
      </w:r>
    </w:p>
    <w:p w:rsidR="00311CDE" w:rsidRP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t>В рамках реализации «Комплексного плана противодействия идеологии терроризма на территории города Нефтеюганска на 2019-2023 годы» учреждениями культуры в 2020 году организовано и проведено 62 мероприятия, в которых приняли участие 2 963 человека, количество просмотров составило 18 798.</w:t>
      </w:r>
    </w:p>
    <w:p w:rsidR="00311CDE" w:rsidRP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t>В связи с ограничительными мероприятиями, действовавшими в отчетный период на территории ХМАО – Югры, вызванными распространением новой коронавирусной инфекции COVID-19, большая часть мероприятий Комплексного плана проведена дистанционно или в онлайн формате.</w:t>
      </w:r>
    </w:p>
    <w:p w:rsidR="00311CDE" w:rsidRP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t>В рамках реализации мер, направленных на социальную и культурную адаптацию мигрантов, противодействие распространению среди мигрантов идеологии терроризма МБУК «Городская библиотека»:</w:t>
      </w:r>
    </w:p>
    <w:p w:rsidR="00311CDE" w:rsidRP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t>-обеспечен доступ 15 иностранным гражданам к информационным и коммуникационным ресурсам и сервисам сети Интернет, включая организацию доступа к отдельным муниципальным, региональным и российским информационным ресурсам;</w:t>
      </w:r>
    </w:p>
    <w:p w:rsidR="00311CDE" w:rsidRP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t>-осуществлено консультирование 17 человек по поиску информации и получению государственных (муниципальных) услуг;</w:t>
      </w:r>
    </w:p>
    <w:p w:rsidR="00311CDE" w:rsidRP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t>-оформлено 34 справки об административно-территориальных изменениях;</w:t>
      </w:r>
    </w:p>
    <w:p w:rsidR="00311CDE" w:rsidRP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t>-разработано и выпущено 4 буклета: «Жизнь в России: полезные советы по адаптации», «Трудоустройство. Поиск работы», «Трудоустройство. Патент на работу», «Информационные ресурсы по вопросам миграции: в помощь иностранным гражданам в России». Печатная продукция распространяется среди мигрантов, а также размещена на официальном сайте Городской библиотеки в разделе «Информация для мигрантов».</w:t>
      </w:r>
    </w:p>
    <w:p w:rsidR="00311CDE" w:rsidRP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t>На базе образовательных организаций проведено 25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ценностей, таких как классные часы, конференции, конкурсы рисунков и плакатов, концерты, акции, конкурсы творческих работ, форумы, часы общения.</w:t>
      </w:r>
    </w:p>
    <w:p w:rsidR="00311CDE" w:rsidRP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t>С участием представителей религиозных конфессий, национальных общественных организаций проведено 8 мероприятий:</w:t>
      </w:r>
    </w:p>
    <w:p w:rsidR="00311CDE" w:rsidRP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lastRenderedPageBreak/>
        <w:t>-V Городская конференция «Молодёжь против экстремизма и терроризма» (МБУ ДО «Детская школа искусств»);</w:t>
      </w:r>
    </w:p>
    <w:p w:rsidR="00311CDE" w:rsidRP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t>-рабочая встреча с участием председателей и представителей 10-ти национальных общественных организаций, круглый стол «Вечные ценности как путь к согласию», фестиваль «Плов дружбы», выставка декоративно-прикладного искусства «Югра – наш общий дом» (МБУК «Центр национальных культур»);</w:t>
      </w:r>
    </w:p>
    <w:p w:rsidR="00311CDE" w:rsidRP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t>-онлайн мероприятие «Единство разных» и семинар на тему «Противодействие экстремизму и социокультурным конфликтам в молодежной среде» (МБУК «Городская библиотека»);</w:t>
      </w:r>
    </w:p>
    <w:p w:rsidR="00311CDE" w:rsidRP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t xml:space="preserve">-дистанционный форум для преподавателей на тему «Как защитить учеников от воздействия терроризма» (МБУ ДО «Детская музыкальная школа им. </w:t>
      </w:r>
      <w:proofErr w:type="spellStart"/>
      <w:r w:rsidRPr="00311CDE">
        <w:rPr>
          <w:rFonts w:ascii="Times New Roman" w:hAnsi="Times New Roman" w:cs="Times New Roman"/>
          <w:sz w:val="28"/>
          <w:szCs w:val="28"/>
        </w:rPr>
        <w:t>В.В.Андреева</w:t>
      </w:r>
      <w:proofErr w:type="spellEnd"/>
      <w:r w:rsidRPr="00311CDE">
        <w:rPr>
          <w:rFonts w:ascii="Times New Roman" w:hAnsi="Times New Roman" w:cs="Times New Roman"/>
          <w:sz w:val="28"/>
          <w:szCs w:val="28"/>
        </w:rPr>
        <w:t>).</w:t>
      </w:r>
    </w:p>
    <w:p w:rsidR="00311CDE" w:rsidRDefault="00311CDE" w:rsidP="00311C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DE">
        <w:rPr>
          <w:rFonts w:ascii="Times New Roman" w:hAnsi="Times New Roman" w:cs="Times New Roman"/>
          <w:sz w:val="28"/>
          <w:szCs w:val="28"/>
        </w:rPr>
        <w:t xml:space="preserve">В рамках Дня солидарности в борьбе с терроризмом проведено 11 мероприятий, количество участников, просмотров составило 2477 человек. Среди форм проведения мероприятий необходимо отметить следующие: акции «Мы против террора», «Поколение без террора»; памятные мероприятия «Дорога к миру», «Эхо </w:t>
      </w:r>
      <w:proofErr w:type="spellStart"/>
      <w:r w:rsidRPr="00311CDE">
        <w:rPr>
          <w:rFonts w:ascii="Times New Roman" w:hAnsi="Times New Roman" w:cs="Times New Roman"/>
          <w:sz w:val="28"/>
          <w:szCs w:val="28"/>
        </w:rPr>
        <w:t>Бесланской</w:t>
      </w:r>
      <w:proofErr w:type="spellEnd"/>
      <w:r w:rsidRPr="00311CDE">
        <w:rPr>
          <w:rFonts w:ascii="Times New Roman" w:hAnsi="Times New Roman" w:cs="Times New Roman"/>
          <w:sz w:val="28"/>
          <w:szCs w:val="28"/>
        </w:rPr>
        <w:t xml:space="preserve"> трагедии»; концерт-лекция «Дети против террора»; создание и трансляция социального ролика «Устами ребенка»; фото-</w:t>
      </w:r>
      <w:proofErr w:type="spellStart"/>
      <w:r w:rsidRPr="00311CDE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311CDE">
        <w:rPr>
          <w:rFonts w:ascii="Times New Roman" w:hAnsi="Times New Roman" w:cs="Times New Roman"/>
          <w:sz w:val="28"/>
          <w:szCs w:val="28"/>
        </w:rPr>
        <w:t xml:space="preserve"> «Мы за мир!»; выставка «Терроризм – угроза обществу»; спектакль «Багровый туман»; информационные часы «Покушение на мирную жизнь», «Дорога к миру».</w:t>
      </w:r>
    </w:p>
    <w:p w:rsidR="00AC6586" w:rsidRDefault="00AC6586">
      <w:bookmarkStart w:id="0" w:name="_GoBack"/>
      <w:bookmarkEnd w:id="0"/>
    </w:p>
    <w:sectPr w:rsidR="00AC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B3"/>
    <w:rsid w:val="002C0DCA"/>
    <w:rsid w:val="00311CDE"/>
    <w:rsid w:val="008353B3"/>
    <w:rsid w:val="00AC6586"/>
    <w:rsid w:val="00D5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1BEE"/>
  <w15:chartTrackingRefBased/>
  <w15:docId w15:val="{B272EE16-96B1-4FA8-B2A1-5D718CBA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1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4</cp:revision>
  <dcterms:created xsi:type="dcterms:W3CDTF">2021-03-15T03:42:00Z</dcterms:created>
  <dcterms:modified xsi:type="dcterms:W3CDTF">2021-03-15T03:45:00Z</dcterms:modified>
</cp:coreProperties>
</file>