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-307975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97426D" w:rsidRPr="00F815D3" w:rsidTr="008A1752">
        <w:trPr>
          <w:trHeight w:val="3824"/>
        </w:trPr>
        <w:tc>
          <w:tcPr>
            <w:tcW w:w="949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3B747F" w:rsidRDefault="003B747F" w:rsidP="003B747F">
            <w:pPr>
              <w:pStyle w:val="ConsPlusNonformat"/>
              <w:widowControl/>
              <w:jc w:val="both"/>
              <w:rPr>
                <w:rFonts w:ascii="Times New Roman" w:hAnsi="Times New Roman" w:cs="Times New Roman"/>
                <w:sz w:val="28"/>
                <w:szCs w:val="28"/>
              </w:rPr>
            </w:pPr>
            <w:r w:rsidRPr="003B747F">
              <w:rPr>
                <w:rFonts w:ascii="Times New Roman" w:hAnsi="Times New Roman" w:cs="Times New Roman"/>
                <w:sz w:val="28"/>
                <w:szCs w:val="28"/>
              </w:rPr>
              <w:t>23</w:t>
            </w:r>
            <w:r>
              <w:rPr>
                <w:rFonts w:ascii="Times New Roman" w:hAnsi="Times New Roman" w:cs="Times New Roman"/>
                <w:sz w:val="28"/>
                <w:szCs w:val="28"/>
              </w:rPr>
              <w:t>.09.2019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975-п</w:t>
            </w:r>
          </w:p>
          <w:p w:rsidR="000861C6" w:rsidRPr="000861C6" w:rsidRDefault="0097426D" w:rsidP="000861C6">
            <w:pPr>
              <w:autoSpaceDE w:val="0"/>
              <w:autoSpaceDN w:val="0"/>
              <w:adjustRightInd w:val="0"/>
              <w:jc w:val="center"/>
            </w:pPr>
            <w:proofErr w:type="spellStart"/>
            <w:r w:rsidRPr="003727F7">
              <w:t>г</w:t>
            </w:r>
            <w:proofErr w:type="gramStart"/>
            <w:r w:rsidRPr="003727F7">
              <w:t>.Н</w:t>
            </w:r>
            <w:proofErr w:type="gramEnd"/>
            <w:r w:rsidRPr="003727F7">
              <w:t>ефтеюганск</w:t>
            </w:r>
            <w:proofErr w:type="spellEnd"/>
            <w:r w:rsidR="009A7440">
              <w:t xml:space="preserve"> </w:t>
            </w:r>
          </w:p>
          <w:p w:rsidR="0097426D" w:rsidRPr="00F815D3" w:rsidRDefault="0097426D" w:rsidP="00CC4793">
            <w:pPr>
              <w:rPr>
                <w:sz w:val="28"/>
                <w:szCs w:val="28"/>
              </w:rPr>
            </w:pPr>
          </w:p>
          <w:p w:rsidR="0097426D" w:rsidRPr="00F815D3"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от</w:t>
      </w:r>
      <w:proofErr w:type="gramEnd"/>
      <w:r w:rsidR="00C101E1">
        <w:rPr>
          <w:sz w:val="28"/>
          <w:szCs w:val="28"/>
        </w:rPr>
        <w:t xml:space="preserve"> </w:t>
      </w:r>
      <w:proofErr w:type="gramStart"/>
      <w:r w:rsidR="00C101E1">
        <w:rPr>
          <w:sz w:val="28"/>
          <w:szCs w:val="28"/>
        </w:rPr>
        <w:t>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lastRenderedPageBreak/>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E64061" w:rsidP="007B5EB8">
            <w:pPr>
              <w:jc w:val="right"/>
              <w:rPr>
                <w:rFonts w:eastAsia="Calibri"/>
                <w:sz w:val="28"/>
                <w:szCs w:val="28"/>
              </w:rPr>
            </w:pPr>
            <w:r>
              <w:rPr>
                <w:rFonts w:eastAsia="Calibri"/>
                <w:sz w:val="28"/>
                <w:szCs w:val="28"/>
              </w:rPr>
              <w:t>8 135 874,172</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654 444,061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655 855,761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649 862,269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701" w:type="dxa"/>
            <w:tcBorders>
              <w:top w:val="nil"/>
              <w:left w:val="nil"/>
              <w:bottom w:val="single" w:sz="4" w:space="0" w:color="auto"/>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2410" w:type="dxa"/>
            <w:tcBorders>
              <w:top w:val="single" w:sz="4" w:space="0" w:color="auto"/>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single" w:sz="4" w:space="0" w:color="auto"/>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3 249 311,345</w:t>
            </w:r>
          </w:p>
        </w:tc>
        <w:tc>
          <w:tcPr>
            <w:tcW w:w="1701" w:type="dxa"/>
            <w:tcBorders>
              <w:top w:val="single" w:sz="4" w:space="0" w:color="auto"/>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top w:val="nil"/>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32 618,097</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6 060,425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7 071 060,823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561 614,348</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563 026,048</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2 813 219,075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1 032 195,252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430 031,845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3B747F">
        <w:rPr>
          <w:sz w:val="28"/>
          <w:szCs w:val="28"/>
        </w:rPr>
        <w:t xml:space="preserve"> изложить согласно приложению</w:t>
      </w:r>
      <w:r w:rsidR="00236585">
        <w:rPr>
          <w:sz w:val="28"/>
          <w:szCs w:val="28"/>
        </w:rPr>
        <w:t xml:space="preserve"> </w:t>
      </w:r>
      <w:r w:rsidRPr="00033328">
        <w:rPr>
          <w:sz w:val="28"/>
          <w:szCs w:val="28"/>
        </w:rPr>
        <w:t>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0077496C">
        <w:rPr>
          <w:sz w:val="28"/>
          <w:szCs w:val="28"/>
        </w:rPr>
        <w:t>3</w:t>
      </w:r>
      <w:r w:rsidRPr="00880B9D">
        <w:rPr>
          <w:sz w:val="28"/>
          <w:szCs w:val="28"/>
        </w:rPr>
        <w:t xml:space="preserve">.Контроль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B43CAD" w:rsidRDefault="00B43CAD" w:rsidP="0097426D">
      <w:pPr>
        <w:jc w:val="both"/>
        <w:rPr>
          <w:sz w:val="28"/>
          <w:szCs w:val="28"/>
        </w:rPr>
      </w:pPr>
    </w:p>
    <w:p w:rsidR="00C227C3" w:rsidRDefault="00C227C3" w:rsidP="0097426D">
      <w:pPr>
        <w:jc w:val="both"/>
        <w:rPr>
          <w:sz w:val="28"/>
          <w:szCs w:val="28"/>
        </w:rPr>
      </w:pPr>
    </w:p>
    <w:p w:rsidR="0097426D" w:rsidRPr="008A1752" w:rsidRDefault="008A1752" w:rsidP="008A1752">
      <w:pPr>
        <w:jc w:val="both"/>
        <w:rPr>
          <w:sz w:val="28"/>
          <w:szCs w:val="28"/>
        </w:rPr>
        <w:sectPr w:rsidR="0097426D" w:rsidRPr="008A1752" w:rsidSect="000861C6">
          <w:headerReference w:type="default" r:id="rId10"/>
          <w:footerReference w:type="even" r:id="rId11"/>
          <w:headerReference w:type="first" r:id="rId12"/>
          <w:pgSz w:w="11906" w:h="16838" w:code="9"/>
          <w:pgMar w:top="851" w:right="567" w:bottom="851"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3B747F">
            <w:pPr>
              <w:ind w:left="12220"/>
              <w:rPr>
                <w:sz w:val="16"/>
                <w:szCs w:val="16"/>
              </w:rPr>
            </w:pPr>
            <w:r>
              <w:rPr>
                <w:sz w:val="28"/>
                <w:szCs w:val="28"/>
              </w:rPr>
              <w:t xml:space="preserve">от </w:t>
            </w:r>
            <w:r w:rsidR="003B747F" w:rsidRPr="003B747F">
              <w:rPr>
                <w:sz w:val="28"/>
                <w:szCs w:val="28"/>
              </w:rPr>
              <w:t>23</w:t>
            </w:r>
            <w:r w:rsidR="003B747F">
              <w:rPr>
                <w:sz w:val="28"/>
                <w:szCs w:val="28"/>
              </w:rPr>
              <w:t>.09.2019</w:t>
            </w:r>
            <w:r w:rsidR="007551D2">
              <w:rPr>
                <w:sz w:val="28"/>
                <w:szCs w:val="28"/>
              </w:rPr>
              <w:t xml:space="preserve"> </w:t>
            </w:r>
            <w:r w:rsidR="007551D2" w:rsidRPr="007551D2">
              <w:rPr>
                <w:sz w:val="28"/>
                <w:szCs w:val="28"/>
              </w:rPr>
              <w:t xml:space="preserve">№ </w:t>
            </w:r>
            <w:r w:rsidR="003B747F">
              <w:rPr>
                <w:sz w:val="28"/>
                <w:szCs w:val="28"/>
              </w:rPr>
              <w:t>975-п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021C1" w:rsidRPr="007021C1" w:rsidTr="00B95673">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71 901,840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29 959,100</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68 311,800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28 463,250</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28 93</w:t>
            </w:r>
            <w:r w:rsidR="00F6511D">
              <w:rPr>
                <w:sz w:val="18"/>
                <w:szCs w:val="18"/>
              </w:rPr>
              <w:t>4,880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2 608,460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2 60</w:t>
            </w:r>
            <w:r w:rsidR="00F6511D">
              <w:rPr>
                <w:sz w:val="18"/>
                <w:szCs w:val="18"/>
              </w:rPr>
              <w:t>8,460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11 727,500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14 93</w:t>
            </w:r>
            <w:r w:rsidR="00F6511D">
              <w:rPr>
                <w:sz w:val="18"/>
                <w:szCs w:val="18"/>
              </w:rPr>
              <w:t>9,397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1 343,544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1 34</w:t>
            </w:r>
            <w:r w:rsidR="00F6511D">
              <w:rPr>
                <w:sz w:val="18"/>
                <w:szCs w:val="18"/>
              </w:rPr>
              <w:t>3,544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6511D" w:rsidP="007021C1">
            <w:pPr>
              <w:jc w:val="center"/>
              <w:rPr>
                <w:sz w:val="18"/>
                <w:szCs w:val="18"/>
              </w:rPr>
            </w:pPr>
            <w:r>
              <w:rPr>
                <w:sz w:val="18"/>
                <w:szCs w:val="18"/>
              </w:rPr>
              <w:t>13 995,483</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5 667,075</w:t>
            </w:r>
          </w:p>
        </w:tc>
      </w:tr>
      <w:tr w:rsidR="007021C1" w:rsidRPr="007021C1" w:rsidTr="00B95673">
        <w:trPr>
          <w:trHeight w:val="992"/>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7</w:t>
            </w:r>
            <w:r w:rsidR="00F55A5F">
              <w:rPr>
                <w:sz w:val="18"/>
                <w:szCs w:val="22"/>
              </w:rPr>
              <w:t> 477 230,976</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626 065,281</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627 096,881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3 106 831,745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13 819,700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6</w:t>
            </w:r>
            <w:r w:rsidR="00C101E1">
              <w:rPr>
                <w:sz w:val="18"/>
                <w:szCs w:val="22"/>
              </w:rPr>
              <w:t> 431 216,024</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C101E1"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534 579,112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535 610,712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2 676 799,900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430 031,845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7 578 067,696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634 665,561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635 697</w:t>
            </w:r>
            <w:r w:rsidR="00F6511D">
              <w:rPr>
                <w:sz w:val="18"/>
                <w:szCs w:val="18"/>
              </w:rPr>
              <w:t>,161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3 148 518,345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28 759,097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6 823</w:t>
            </w:r>
            <w:r w:rsidR="00F6511D">
              <w:rPr>
                <w:sz w:val="18"/>
                <w:szCs w:val="18"/>
              </w:rPr>
              <w:t>,344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22"/>
              </w:rPr>
            </w:pPr>
            <w:r>
              <w:rPr>
                <w:sz w:val="18"/>
                <w:szCs w:val="22"/>
              </w:rPr>
              <w:t>6 517 113,347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22"/>
              </w:rPr>
            </w:pPr>
            <w:r>
              <w:rPr>
                <w:sz w:val="18"/>
                <w:szCs w:val="22"/>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541 835,848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542 867,448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2 712 426,075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430 031,845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B95673">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E64061" w:rsidP="00B320E9">
            <w:pPr>
              <w:jc w:val="center"/>
              <w:rPr>
                <w:sz w:val="16"/>
                <w:szCs w:val="16"/>
              </w:rPr>
            </w:pPr>
            <w:r>
              <w:rPr>
                <w:sz w:val="16"/>
                <w:szCs w:val="16"/>
              </w:rPr>
              <w:t>270</w:t>
            </w:r>
            <w:r w:rsidR="00EE0F4F">
              <w:rPr>
                <w:sz w:val="16"/>
                <w:szCs w:val="16"/>
              </w:rPr>
              <w:t> </w:t>
            </w:r>
            <w:r>
              <w:rPr>
                <w:sz w:val="16"/>
                <w:szCs w:val="16"/>
              </w:rPr>
              <w:t>700</w:t>
            </w:r>
            <w:r w:rsidR="00EE0F4F">
              <w:rPr>
                <w:sz w:val="16"/>
                <w:szCs w:val="16"/>
              </w:rPr>
              <w:t>,</w:t>
            </w:r>
            <w:r>
              <w:rPr>
                <w:sz w:val="16"/>
                <w:szCs w:val="16"/>
              </w:rPr>
              <w:t xml:space="preserve"> 247</w:t>
            </w:r>
          </w:p>
        </w:tc>
        <w:tc>
          <w:tcPr>
            <w:tcW w:w="1205" w:type="dxa"/>
            <w:gridSpan w:val="2"/>
            <w:tcBorders>
              <w:top w:val="nil"/>
              <w:left w:val="nil"/>
              <w:bottom w:val="single" w:sz="4" w:space="0" w:color="auto"/>
              <w:right w:val="single" w:sz="4" w:space="0" w:color="auto"/>
            </w:tcBorders>
            <w:shd w:val="clear" w:color="auto" w:fill="auto"/>
            <w:noWrap/>
            <w:vAlign w:val="center"/>
          </w:tcPr>
          <w:p w:rsidR="00E64061" w:rsidRPr="00571537" w:rsidRDefault="00E64061" w:rsidP="00E64061">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B95673">
        <w:trPr>
          <w:trHeight w:val="519"/>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E64061" w:rsidP="006048E6">
            <w:pPr>
              <w:jc w:val="center"/>
              <w:rPr>
                <w:color w:val="000000"/>
                <w:sz w:val="16"/>
                <w:szCs w:val="16"/>
              </w:rPr>
            </w:pPr>
            <w:r>
              <w:rPr>
                <w:color w:val="000000"/>
                <w:sz w:val="16"/>
                <w:szCs w:val="16"/>
              </w:rPr>
              <w:t>236 481,656</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E64061" w:rsidP="006048E6">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E64061" w:rsidP="007B5EB8">
            <w:pPr>
              <w:rPr>
                <w:sz w:val="16"/>
                <w:szCs w:val="16"/>
              </w:rPr>
            </w:pPr>
            <w:r>
              <w:rPr>
                <w:sz w:val="16"/>
                <w:szCs w:val="16"/>
              </w:rPr>
              <w:t>316 095,781</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E64061" w:rsidP="007021C1">
            <w:pPr>
              <w:jc w:val="center"/>
              <w:rPr>
                <w:sz w:val="16"/>
                <w:szCs w:val="16"/>
              </w:rPr>
            </w:pPr>
            <w:r>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C101E1" w:rsidP="007021C1">
            <w:pPr>
              <w:jc w:val="center"/>
              <w:rPr>
                <w:sz w:val="16"/>
                <w:szCs w:val="16"/>
              </w:rPr>
            </w:pPr>
            <w:r>
              <w:rPr>
                <w:sz w:val="16"/>
                <w:szCs w:val="16"/>
              </w:rPr>
              <w:t>3 859</w:t>
            </w:r>
            <w:r w:rsidR="00B33C91" w:rsidRPr="00571537">
              <w:rPr>
                <w:sz w:val="16"/>
                <w:szCs w:val="16"/>
              </w:rPr>
              <w:t>,000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C101E1" w:rsidP="00B33C91">
            <w:pPr>
              <w:jc w:val="center"/>
              <w:rPr>
                <w:sz w:val="16"/>
                <w:szCs w:val="16"/>
              </w:rPr>
            </w:pPr>
            <w:r>
              <w:rPr>
                <w:sz w:val="16"/>
                <w:szCs w:val="16"/>
              </w:rPr>
              <w:t>3 859</w:t>
            </w:r>
            <w:r w:rsidR="00B33C91" w:rsidRPr="00571537">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B95673">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E64061" w:rsidP="007B5EB8">
            <w:pPr>
              <w:rPr>
                <w:sz w:val="16"/>
                <w:szCs w:val="16"/>
              </w:rPr>
            </w:pPr>
            <w:r>
              <w:rPr>
                <w:sz w:val="16"/>
                <w:szCs w:val="16"/>
              </w:rPr>
              <w:t>312 236,781</w:t>
            </w:r>
          </w:p>
        </w:tc>
        <w:tc>
          <w:tcPr>
            <w:tcW w:w="1205" w:type="dxa"/>
            <w:gridSpan w:val="2"/>
            <w:tcBorders>
              <w:top w:val="nil"/>
              <w:left w:val="nil"/>
              <w:bottom w:val="single" w:sz="4" w:space="0" w:color="auto"/>
              <w:right w:val="single" w:sz="4" w:space="0" w:color="auto"/>
            </w:tcBorders>
            <w:shd w:val="clear" w:color="auto" w:fill="auto"/>
            <w:vAlign w:val="center"/>
          </w:tcPr>
          <w:p w:rsidR="007B5EB8" w:rsidRPr="00571537" w:rsidRDefault="00E64061" w:rsidP="007B5EB8">
            <w:pPr>
              <w:jc w:val="center"/>
              <w:rPr>
                <w:sz w:val="16"/>
                <w:szCs w:val="16"/>
              </w:rPr>
            </w:pPr>
            <w:r>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B000D2"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13</w:t>
            </w:r>
          </w:p>
        </w:tc>
      </w:tr>
      <w:tr w:rsidR="007021C1" w:rsidRPr="007021C1" w:rsidTr="00B9567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65069" w:rsidRPr="007021C1" w:rsidRDefault="00965069" w:rsidP="00965069">
            <w:pPr>
              <w:jc w:val="center"/>
              <w:rPr>
                <w:bCs/>
                <w:sz w:val="18"/>
                <w:szCs w:val="18"/>
              </w:rPr>
            </w:pPr>
            <w:r>
              <w:rPr>
                <w:bCs/>
                <w:sz w:val="18"/>
                <w:szCs w:val="18"/>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100 793,000</w:t>
            </w:r>
          </w:p>
        </w:tc>
      </w:tr>
      <w:tr w:rsidR="007021C1"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18"/>
              </w:rPr>
            </w:pPr>
            <w:r>
              <w:rPr>
                <w:sz w:val="18"/>
                <w:szCs w:val="18"/>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100 793,000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3</w:t>
            </w:r>
          </w:p>
          <w:p w:rsidR="007021C1" w:rsidRPr="007021C1" w:rsidRDefault="007021C1" w:rsidP="007021C1">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22"/>
              </w:rPr>
            </w:pPr>
            <w:r>
              <w:rPr>
                <w:bCs/>
                <w:sz w:val="18"/>
                <w:szCs w:val="22"/>
              </w:rPr>
              <w:t>241 710,695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19 778,500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100 793,000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22"/>
              </w:rPr>
            </w:pPr>
            <w:r>
              <w:rPr>
                <w:sz w:val="18"/>
                <w:szCs w:val="22"/>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w:t>
            </w:r>
            <w:r w:rsidR="00965069">
              <w:rPr>
                <w:sz w:val="18"/>
                <w:szCs w:val="22"/>
              </w:rPr>
              <w:t>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100 793,000</w:t>
            </w:r>
          </w:p>
        </w:tc>
      </w:tr>
      <w:tr w:rsidR="007021C1" w:rsidRPr="007021C1" w:rsidTr="00B95673">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E64061" w:rsidP="007021C1">
            <w:pPr>
              <w:jc w:val="center"/>
              <w:rPr>
                <w:sz w:val="18"/>
                <w:szCs w:val="18"/>
              </w:rPr>
            </w:pPr>
            <w:r>
              <w:rPr>
                <w:sz w:val="18"/>
                <w:szCs w:val="18"/>
              </w:rPr>
              <w:t>8 135 874,172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E64061" w:rsidP="007021C1">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654 444,061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655 85</w:t>
            </w:r>
            <w:r w:rsidR="00F6511D">
              <w:rPr>
                <w:sz w:val="18"/>
                <w:szCs w:val="18"/>
              </w:rPr>
              <w:t>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3 249 311,345</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32 618,097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rPr>
            </w:pPr>
            <w:r>
              <w:rPr>
                <w:sz w:val="18"/>
                <w:szCs w:val="20"/>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6 82</w:t>
            </w:r>
            <w:r w:rsidR="00F6511D">
              <w:rPr>
                <w:sz w:val="18"/>
                <w:szCs w:val="20"/>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6 060,425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64061" w:rsidP="007021C1">
            <w:pPr>
              <w:jc w:val="center"/>
              <w:rPr>
                <w:sz w:val="18"/>
              </w:rPr>
            </w:pPr>
            <w:r>
              <w:rPr>
                <w:sz w:val="18"/>
                <w:szCs w:val="20"/>
              </w:rPr>
              <w:t>7 071 060,823</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E64061" w:rsidP="007021C1">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561 614,348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2 813 219,075</w:t>
            </w:r>
          </w:p>
        </w:tc>
      </w:tr>
      <w:tr w:rsidR="007021C1" w:rsidRPr="007021C1" w:rsidTr="00B95673">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430 031,845</w:t>
            </w:r>
          </w:p>
        </w:tc>
      </w:tr>
      <w:tr w:rsidR="007021C1"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F2181D" w:rsidRPr="007021C1" w:rsidTr="00B95673">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F2181D" w:rsidRPr="007021C1" w:rsidRDefault="00F2181D"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F2181D" w:rsidRPr="007021C1" w:rsidTr="00B95673">
        <w:trPr>
          <w:trHeight w:val="577"/>
        </w:trPr>
        <w:tc>
          <w:tcPr>
            <w:tcW w:w="3901" w:type="dxa"/>
            <w:gridSpan w:val="6"/>
            <w:vMerge/>
            <w:tcBorders>
              <w:left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F2181D" w:rsidRPr="007021C1" w:rsidTr="00E64061">
        <w:trPr>
          <w:trHeight w:val="213"/>
        </w:trPr>
        <w:tc>
          <w:tcPr>
            <w:tcW w:w="3901" w:type="dxa"/>
            <w:gridSpan w:val="6"/>
            <w:vMerge/>
            <w:tcBorders>
              <w:left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F2181D" w:rsidRPr="007021C1" w:rsidTr="00E64061">
        <w:trPr>
          <w:trHeight w:val="395"/>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F2181D" w:rsidRPr="007021C1" w:rsidRDefault="00F2181D"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2181D" w:rsidRPr="007021C1" w:rsidRDefault="00F2181D"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B95673">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E6406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64061" w:rsidRPr="007021C1" w:rsidRDefault="00E64061" w:rsidP="00E64061">
            <w:pPr>
              <w:rPr>
                <w:color w:val="000000"/>
                <w:sz w:val="18"/>
                <w:szCs w:val="18"/>
              </w:rPr>
            </w:pPr>
            <w:r w:rsidRPr="007021C1">
              <w:rPr>
                <w:color w:val="000000"/>
                <w:sz w:val="18"/>
                <w:szCs w:val="18"/>
              </w:rPr>
              <w:t>Прочие расходы</w:t>
            </w:r>
          </w:p>
          <w:p w:rsidR="00E64061" w:rsidRPr="007021C1" w:rsidRDefault="00E64061" w:rsidP="00E6406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64061" w:rsidRPr="007021C1" w:rsidRDefault="00E64061" w:rsidP="00E64061">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E64061" w:rsidRPr="00926108" w:rsidRDefault="00E64061" w:rsidP="00E64061">
            <w:pPr>
              <w:jc w:val="center"/>
              <w:rPr>
                <w:sz w:val="18"/>
                <w:szCs w:val="18"/>
              </w:rPr>
            </w:pPr>
            <w:r>
              <w:rPr>
                <w:sz w:val="18"/>
                <w:szCs w:val="18"/>
              </w:rPr>
              <w:t>8 135 874,172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64061" w:rsidRPr="00926108" w:rsidRDefault="00E64061" w:rsidP="00E64061">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Pr>
                <w:sz w:val="18"/>
                <w:szCs w:val="18"/>
              </w:rPr>
              <w:t>654 444,061</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Pr>
                <w:sz w:val="18"/>
                <w:szCs w:val="18"/>
              </w:rPr>
              <w:t>655 855,761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649 862,269</w:t>
            </w:r>
          </w:p>
        </w:tc>
        <w:tc>
          <w:tcPr>
            <w:tcW w:w="1198" w:type="dxa"/>
            <w:tcBorders>
              <w:top w:val="single" w:sz="4" w:space="0" w:color="auto"/>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3 249 311,345</w:t>
            </w:r>
          </w:p>
        </w:tc>
      </w:tr>
      <w:tr w:rsidR="00E64061" w:rsidRPr="007021C1" w:rsidTr="00B95673">
        <w:trPr>
          <w:trHeight w:val="497"/>
        </w:trPr>
        <w:tc>
          <w:tcPr>
            <w:tcW w:w="3901" w:type="dxa"/>
            <w:gridSpan w:val="6"/>
            <w:vMerge/>
            <w:tcBorders>
              <w:left w:val="single" w:sz="4" w:space="0" w:color="auto"/>
              <w:right w:val="single" w:sz="4" w:space="0" w:color="auto"/>
            </w:tcBorders>
            <w:vAlign w:val="center"/>
            <w:hideMark/>
          </w:tcPr>
          <w:p w:rsidR="00E64061" w:rsidRPr="007021C1" w:rsidRDefault="00E64061" w:rsidP="00E6406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64061" w:rsidRPr="007021C1" w:rsidRDefault="00E64061" w:rsidP="00E64061">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E64061" w:rsidRPr="00926108" w:rsidRDefault="00E64061" w:rsidP="00E64061">
            <w:pPr>
              <w:jc w:val="center"/>
              <w:rPr>
                <w:sz w:val="18"/>
              </w:rPr>
            </w:pPr>
            <w:r>
              <w:rPr>
                <w:sz w:val="18"/>
                <w:szCs w:val="20"/>
              </w:rPr>
              <w:t>32 618,097</w:t>
            </w:r>
          </w:p>
        </w:tc>
        <w:tc>
          <w:tcPr>
            <w:tcW w:w="1205" w:type="dxa"/>
            <w:gridSpan w:val="2"/>
            <w:tcBorders>
              <w:top w:val="nil"/>
              <w:left w:val="nil"/>
              <w:bottom w:val="single" w:sz="4" w:space="0" w:color="auto"/>
              <w:right w:val="single" w:sz="4" w:space="0" w:color="auto"/>
            </w:tcBorders>
            <w:shd w:val="clear" w:color="auto" w:fill="auto"/>
            <w:vAlign w:val="center"/>
          </w:tcPr>
          <w:p w:rsidR="00E64061" w:rsidRPr="00926108" w:rsidRDefault="00E64061" w:rsidP="00E64061">
            <w:pPr>
              <w:jc w:val="center"/>
              <w:rPr>
                <w:sz w:val="18"/>
              </w:rPr>
            </w:pPr>
            <w:r>
              <w:rPr>
                <w:sz w:val="18"/>
                <w:szCs w:val="20"/>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Pr>
                <w:sz w:val="18"/>
                <w:szCs w:val="20"/>
              </w:rPr>
              <w:t>6 823,344</w:t>
            </w:r>
          </w:p>
        </w:tc>
        <w:tc>
          <w:tcPr>
            <w:tcW w:w="1141"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Pr>
                <w:sz w:val="18"/>
                <w:szCs w:val="20"/>
              </w:rPr>
              <w:t>6 823,344</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1 212,085</w:t>
            </w:r>
          </w:p>
        </w:tc>
        <w:tc>
          <w:tcPr>
            <w:tcW w:w="1198" w:type="dxa"/>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6 060,425</w:t>
            </w:r>
          </w:p>
        </w:tc>
      </w:tr>
      <w:tr w:rsidR="00E64061" w:rsidRPr="007021C1" w:rsidTr="00B95673">
        <w:trPr>
          <w:trHeight w:val="60"/>
        </w:trPr>
        <w:tc>
          <w:tcPr>
            <w:tcW w:w="3901" w:type="dxa"/>
            <w:gridSpan w:val="6"/>
            <w:vMerge/>
            <w:tcBorders>
              <w:left w:val="single" w:sz="4" w:space="0" w:color="auto"/>
              <w:right w:val="single" w:sz="4" w:space="0" w:color="auto"/>
            </w:tcBorders>
            <w:vAlign w:val="center"/>
            <w:hideMark/>
          </w:tcPr>
          <w:p w:rsidR="00E64061" w:rsidRPr="007021C1" w:rsidRDefault="00E64061" w:rsidP="00E6406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64061" w:rsidRPr="007021C1" w:rsidRDefault="00E64061" w:rsidP="00E64061">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E64061" w:rsidRPr="00926108" w:rsidRDefault="00E64061" w:rsidP="00E64061">
            <w:pPr>
              <w:jc w:val="center"/>
              <w:rPr>
                <w:sz w:val="18"/>
              </w:rPr>
            </w:pPr>
            <w:r>
              <w:rPr>
                <w:sz w:val="18"/>
                <w:szCs w:val="20"/>
              </w:rPr>
              <w:t>7 071 060,823</w:t>
            </w:r>
          </w:p>
        </w:tc>
        <w:tc>
          <w:tcPr>
            <w:tcW w:w="1205" w:type="dxa"/>
            <w:gridSpan w:val="2"/>
            <w:tcBorders>
              <w:top w:val="nil"/>
              <w:left w:val="nil"/>
              <w:bottom w:val="single" w:sz="4" w:space="0" w:color="auto"/>
              <w:right w:val="single" w:sz="4" w:space="0" w:color="auto"/>
            </w:tcBorders>
            <w:shd w:val="clear" w:color="auto" w:fill="auto"/>
            <w:vAlign w:val="center"/>
          </w:tcPr>
          <w:p w:rsidR="00E64061" w:rsidRPr="00926108" w:rsidRDefault="00E64061" w:rsidP="00E64061">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Pr>
                <w:sz w:val="18"/>
                <w:szCs w:val="20"/>
              </w:rPr>
              <w:t>561 614,348</w:t>
            </w:r>
          </w:p>
        </w:tc>
        <w:tc>
          <w:tcPr>
            <w:tcW w:w="1141"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562 643,815</w:t>
            </w:r>
          </w:p>
        </w:tc>
        <w:tc>
          <w:tcPr>
            <w:tcW w:w="1198" w:type="dxa"/>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rPr>
            </w:pPr>
            <w:r w:rsidRPr="007021C1">
              <w:rPr>
                <w:sz w:val="18"/>
                <w:szCs w:val="20"/>
              </w:rPr>
              <w:t>2 813 219,075</w:t>
            </w:r>
          </w:p>
        </w:tc>
      </w:tr>
      <w:tr w:rsidR="00E64061"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E64061" w:rsidRPr="007021C1" w:rsidRDefault="00E64061" w:rsidP="00E6406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64061" w:rsidRPr="007021C1" w:rsidRDefault="00E64061" w:rsidP="00E64061">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86 006,369</w:t>
            </w:r>
          </w:p>
        </w:tc>
        <w:tc>
          <w:tcPr>
            <w:tcW w:w="1141"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86 006,369</w:t>
            </w:r>
          </w:p>
        </w:tc>
        <w:tc>
          <w:tcPr>
            <w:tcW w:w="1198" w:type="dxa"/>
            <w:tcBorders>
              <w:top w:val="nil"/>
              <w:left w:val="nil"/>
              <w:bottom w:val="single" w:sz="4" w:space="0" w:color="auto"/>
              <w:right w:val="single" w:sz="4" w:space="0" w:color="auto"/>
            </w:tcBorders>
            <w:shd w:val="clear" w:color="auto" w:fill="auto"/>
            <w:vAlign w:val="center"/>
          </w:tcPr>
          <w:p w:rsidR="00E64061" w:rsidRPr="007021C1" w:rsidRDefault="00E64061" w:rsidP="00E64061">
            <w:pPr>
              <w:jc w:val="center"/>
              <w:rPr>
                <w:sz w:val="18"/>
                <w:szCs w:val="18"/>
              </w:rPr>
            </w:pPr>
            <w:r w:rsidRPr="007021C1">
              <w:rPr>
                <w:sz w:val="18"/>
                <w:szCs w:val="18"/>
              </w:rPr>
              <w:t>430 031,845</w:t>
            </w:r>
          </w:p>
        </w:tc>
      </w:tr>
      <w:tr w:rsidR="007021C1"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7021C1" w:rsidRPr="007021C1" w:rsidTr="00B95673">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7 895 802,476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rPr>
            </w:pPr>
            <w:r>
              <w:rPr>
                <w:sz w:val="18"/>
                <w:szCs w:val="20"/>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654 144,891</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655 55</w:t>
            </w:r>
            <w:r w:rsidR="00021B32">
              <w:rPr>
                <w:sz w:val="18"/>
                <w:szCs w:val="20"/>
              </w:rPr>
              <w:t>6,591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3 247 815,495</w:t>
            </w:r>
          </w:p>
        </w:tc>
      </w:tr>
      <w:tr w:rsidR="007021C1" w:rsidRPr="007021C1" w:rsidTr="00B95673">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szCs w:val="18"/>
              </w:rPr>
            </w:pPr>
            <w:r>
              <w:rPr>
                <w:sz w:val="18"/>
                <w:szCs w:val="18"/>
              </w:rPr>
              <w:t>32 618,097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C5772" w:rsidP="007021C1">
            <w:pPr>
              <w:jc w:val="center"/>
              <w:rPr>
                <w:sz w:val="18"/>
                <w:szCs w:val="18"/>
              </w:rPr>
            </w:pPr>
            <w:r>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6 82</w:t>
            </w:r>
            <w:r w:rsidR="00021B32">
              <w:rPr>
                <w:sz w:val="18"/>
                <w:szCs w:val="18"/>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B5EB8" w:rsidP="007021C1">
            <w:pPr>
              <w:jc w:val="center"/>
              <w:rPr>
                <w:sz w:val="18"/>
              </w:rPr>
            </w:pPr>
            <w:r>
              <w:rPr>
                <w:sz w:val="18"/>
                <w:szCs w:val="20"/>
              </w:rPr>
              <w:t>6</w:t>
            </w:r>
            <w:r w:rsidR="00965069">
              <w:rPr>
                <w:sz w:val="18"/>
                <w:szCs w:val="20"/>
              </w:rPr>
              <w:t> 830 989,127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561 315,178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562 726,878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2 811 723,225</w:t>
            </w:r>
          </w:p>
        </w:tc>
      </w:tr>
      <w:tr w:rsidR="007021C1" w:rsidRPr="007021C1" w:rsidTr="00B95673">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430 031,845</w:t>
            </w:r>
          </w:p>
        </w:tc>
      </w:tr>
      <w:tr w:rsidR="007021C1"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E64061" w:rsidP="00912529">
            <w:pPr>
              <w:jc w:val="center"/>
              <w:rPr>
                <w:sz w:val="18"/>
                <w:szCs w:val="18"/>
              </w:rPr>
            </w:pPr>
            <w:r>
              <w:rPr>
                <w:sz w:val="18"/>
                <w:szCs w:val="18"/>
              </w:rPr>
              <w:t>236 481,656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F2181D" w:rsidP="00912529">
            <w:pPr>
              <w:jc w:val="center"/>
              <w:rPr>
                <w:sz w:val="18"/>
                <w:szCs w:val="18"/>
              </w:rPr>
            </w:pPr>
            <w:r>
              <w:rPr>
                <w:sz w:val="18"/>
                <w:szCs w:val="18"/>
              </w:rPr>
              <w:t>236</w:t>
            </w:r>
            <w:r w:rsidR="00E64061">
              <w:rPr>
                <w:sz w:val="18"/>
                <w:szCs w:val="18"/>
              </w:rPr>
              <w:t>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B95673">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B95673">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E64061" w:rsidP="00B33C91">
            <w:pPr>
              <w:jc w:val="center"/>
              <w:rPr>
                <w:sz w:val="18"/>
                <w:szCs w:val="18"/>
              </w:rPr>
            </w:pPr>
            <w:r>
              <w:rPr>
                <w:sz w:val="18"/>
                <w:szCs w:val="18"/>
              </w:rPr>
              <w:t>236 481,656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E64061" w:rsidP="00B33C91">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B95673">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B000D2">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Pr="00353A9E" w:rsidRDefault="00D92D58" w:rsidP="009B77E0">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4A" w:rsidRDefault="001D364A" w:rsidP="0097426D">
      <w:r>
        <w:separator/>
      </w:r>
    </w:p>
  </w:endnote>
  <w:endnote w:type="continuationSeparator" w:id="0">
    <w:p w:rsidR="001D364A" w:rsidRDefault="001D364A"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4F" w:rsidRDefault="00EE0F4F"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EE0F4F" w:rsidRDefault="00EE0F4F"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4A" w:rsidRDefault="001D364A" w:rsidP="0097426D">
      <w:r>
        <w:separator/>
      </w:r>
    </w:p>
  </w:footnote>
  <w:footnote w:type="continuationSeparator" w:id="0">
    <w:p w:rsidR="001D364A" w:rsidRDefault="001D364A"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4F" w:rsidRDefault="00EE0F4F">
    <w:pPr>
      <w:pStyle w:val="af2"/>
      <w:jc w:val="center"/>
    </w:pPr>
    <w:r>
      <w:fldChar w:fldCharType="begin"/>
    </w:r>
    <w:r>
      <w:instrText>PAGE   \* MERGEFORMAT</w:instrText>
    </w:r>
    <w:r>
      <w:fldChar w:fldCharType="separate"/>
    </w:r>
    <w:r w:rsidR="009B77E0">
      <w:rPr>
        <w:noProof/>
      </w:rPr>
      <w:t>6</w:t>
    </w:r>
    <w:r>
      <w:rPr>
        <w:noProof/>
      </w:rPr>
      <w:fldChar w:fldCharType="end"/>
    </w:r>
  </w:p>
  <w:p w:rsidR="00EE0F4F" w:rsidRDefault="00EE0F4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9258"/>
      <w:docPartObj>
        <w:docPartGallery w:val="Page Numbers (Top of Page)"/>
        <w:docPartUnique/>
      </w:docPartObj>
    </w:sdtPr>
    <w:sdtEndPr/>
    <w:sdtContent>
      <w:p w:rsidR="00EE0F4F" w:rsidRDefault="00EE0F4F">
        <w:pPr>
          <w:pStyle w:val="af2"/>
          <w:jc w:val="center"/>
        </w:pPr>
      </w:p>
      <w:p w:rsidR="00EE0F4F" w:rsidRDefault="00EE0F4F">
        <w:pPr>
          <w:pStyle w:val="af2"/>
          <w:jc w:val="center"/>
        </w:pPr>
        <w:r>
          <w:fldChar w:fldCharType="begin"/>
        </w:r>
        <w:r>
          <w:instrText>PAGE   \* MERGEFORMAT</w:instrText>
        </w:r>
        <w:r>
          <w:fldChar w:fldCharType="separate"/>
        </w:r>
        <w:r w:rsidR="009B77E0">
          <w:rPr>
            <w:noProof/>
          </w:rPr>
          <w:t>7</w:t>
        </w:r>
        <w:r>
          <w:fldChar w:fldCharType="end"/>
        </w:r>
      </w:p>
    </w:sdtContent>
  </w:sdt>
  <w:p w:rsidR="00EE0F4F" w:rsidRDefault="00EE0F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3099"/>
    <w:rsid w:val="00134C8C"/>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57161"/>
    <w:rsid w:val="001617BD"/>
    <w:rsid w:val="00161FAA"/>
    <w:rsid w:val="00162EFF"/>
    <w:rsid w:val="00162F8E"/>
    <w:rsid w:val="00163AF3"/>
    <w:rsid w:val="00164718"/>
    <w:rsid w:val="001648AF"/>
    <w:rsid w:val="001656D4"/>
    <w:rsid w:val="001666AA"/>
    <w:rsid w:val="00166E0B"/>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0FB"/>
    <w:rsid w:val="008154E8"/>
    <w:rsid w:val="00815731"/>
    <w:rsid w:val="00816B86"/>
    <w:rsid w:val="00817179"/>
    <w:rsid w:val="00817F54"/>
    <w:rsid w:val="008201E7"/>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11F9"/>
    <w:rsid w:val="008A1752"/>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539C"/>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4061"/>
    <w:rsid w:val="00E65ED4"/>
    <w:rsid w:val="00E662A7"/>
    <w:rsid w:val="00E67948"/>
    <w:rsid w:val="00E70A41"/>
    <w:rsid w:val="00E713E9"/>
    <w:rsid w:val="00E726F0"/>
    <w:rsid w:val="00E739EC"/>
    <w:rsid w:val="00E73AE7"/>
    <w:rsid w:val="00E73E14"/>
    <w:rsid w:val="00E7477A"/>
    <w:rsid w:val="00E74CE3"/>
    <w:rsid w:val="00E75049"/>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2EAD"/>
    <w:rsid w:val="00F734B8"/>
    <w:rsid w:val="00F7359C"/>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FD288-9DF8-40A3-B511-7196C15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47</cp:revision>
  <cp:lastPrinted>2019-09-23T06:59:00Z</cp:lastPrinted>
  <dcterms:created xsi:type="dcterms:W3CDTF">2019-02-28T12:37:00Z</dcterms:created>
  <dcterms:modified xsi:type="dcterms:W3CDTF">2019-09-25T05:29:00Z</dcterms:modified>
</cp:coreProperties>
</file>