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AD2" w:rsidRDefault="00625A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05pt;margin-top:-18.2pt;width:503.5pt;height:778.15pt;z-index:251657728;mso-wrap-distance-left:9.05pt;mso-wrap-distance-top:3.6pt;mso-wrap-distance-right:9.05pt;mso-wrap-distance-bottom:3.6pt" strokeweight="6pt">
            <v:fill color2="black"/>
            <v:stroke linestyle="thinThin"/>
            <v:textbox inset="0,0,0,0">
              <w:txbxContent>
                <w:p w:rsidR="00625AD2" w:rsidRDefault="00625AD2">
                  <w:pPr>
                    <w:pStyle w:val="1"/>
                    <w:jc w:val="right"/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ПРОЕКТ</w:t>
                  </w:r>
                </w:p>
                <w:p w:rsidR="00625AD2" w:rsidRDefault="00625AD2">
                  <w:pPr>
                    <w:pStyle w:val="1"/>
                    <w:jc w:val="right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</w:p>
                <w:p w:rsidR="00625AD2" w:rsidRDefault="00625AD2">
                  <w:pPr>
                    <w:pStyle w:val="1"/>
                    <w:jc w:val="right"/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УТВЕРЖДЕН</w:t>
                  </w:r>
                </w:p>
                <w:p w:rsidR="00625AD2" w:rsidRDefault="00625AD2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</w:rPr>
                    <w:t>решением совместного заседания</w:t>
                  </w:r>
                </w:p>
                <w:p w:rsidR="00625AD2" w:rsidRDefault="00625AD2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</w:rPr>
                    <w:t xml:space="preserve">Антитеррористической комиссии ХМАО – Югры </w:t>
                  </w:r>
                </w:p>
                <w:p w:rsidR="00625AD2" w:rsidRPr="006D10DC" w:rsidRDefault="00625AD2">
                  <w:pPr>
                    <w:spacing w:after="0" w:line="240" w:lineRule="auto"/>
                    <w:jc w:val="right"/>
                  </w:pPr>
                  <w:r w:rsidRPr="006D10DC">
                    <w:rPr>
                      <w:rFonts w:ascii="Times New Roman" w:hAnsi="Times New Roman" w:cs="Times New Roman"/>
                    </w:rPr>
                    <w:t xml:space="preserve">и Оперативного штаба в ХМАО – Югре  </w:t>
                  </w:r>
                </w:p>
                <w:p w:rsidR="00625AD2" w:rsidRPr="006D10DC" w:rsidRDefault="00625AD2">
                  <w:pPr>
                    <w:spacing w:after="0" w:line="240" w:lineRule="auto"/>
                    <w:jc w:val="right"/>
                  </w:pPr>
                  <w:r w:rsidRPr="006D10DC">
                    <w:rPr>
                      <w:rFonts w:ascii="Times New Roman" w:hAnsi="Times New Roman" w:cs="Times New Roman"/>
                      <w:i/>
                    </w:rPr>
                    <w:t xml:space="preserve">(протокол от 01.02.2019 № 94/75дсп) </w:t>
                  </w:r>
                </w:p>
                <w:p w:rsidR="00625AD2" w:rsidRPr="006D10DC" w:rsidRDefault="00625A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625AD2" w:rsidRPr="006D10DC" w:rsidRDefault="00625A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625AD2" w:rsidRPr="006D10DC" w:rsidRDefault="00625A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625AD2" w:rsidRPr="006D10DC" w:rsidRDefault="00625A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625AD2" w:rsidRPr="006D10DC" w:rsidRDefault="007A0105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15110" cy="2020570"/>
                        <wp:effectExtent l="1905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-116" t="-87" r="-116" b="-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5110" cy="2020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5AD2" w:rsidRDefault="00625AD2">
                  <w:pPr>
                    <w:pStyle w:val="1"/>
                    <w:rPr>
                      <w:b/>
                      <w:bCs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142" w:hanging="18"/>
                    <w:jc w:val="center"/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34"/>
                      <w:szCs w:val="34"/>
                    </w:rPr>
                    <w:t>РЕГЛАМЕНТ</w:t>
                  </w:r>
                </w:p>
                <w:p w:rsidR="00625AD2" w:rsidRDefault="00625AD2">
                  <w:pPr>
                    <w:pStyle w:val="FR1"/>
                    <w:spacing w:line="240" w:lineRule="auto"/>
                    <w:ind w:left="142" w:hanging="18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34"/>
                      <w:szCs w:val="34"/>
                    </w:rPr>
                    <w:t xml:space="preserve">осуществления мониторинга общественно-политических, социально-экономических и иных процессов, </w:t>
                  </w:r>
                </w:p>
                <w:p w:rsidR="00625AD2" w:rsidRDefault="00625AD2">
                  <w:pPr>
                    <w:pStyle w:val="FR1"/>
                    <w:spacing w:line="240" w:lineRule="auto"/>
                    <w:ind w:left="142" w:hanging="18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34"/>
                      <w:szCs w:val="34"/>
                    </w:rPr>
                    <w:t xml:space="preserve">оказывающих влияние на ситуацию </w:t>
                  </w:r>
                </w:p>
                <w:p w:rsidR="00625AD2" w:rsidRDefault="00625AD2">
                  <w:pPr>
                    <w:pStyle w:val="FR1"/>
                    <w:spacing w:line="240" w:lineRule="auto"/>
                    <w:ind w:left="142" w:hanging="18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34"/>
                      <w:szCs w:val="34"/>
                    </w:rPr>
                    <w:t xml:space="preserve">в сфере противодействия терроризму </w:t>
                  </w:r>
                </w:p>
                <w:p w:rsidR="00625AD2" w:rsidRDefault="00625AD2">
                  <w:pPr>
                    <w:pStyle w:val="FR1"/>
                    <w:spacing w:line="240" w:lineRule="auto"/>
                    <w:ind w:left="142" w:hanging="18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34"/>
                      <w:szCs w:val="34"/>
                    </w:rPr>
                    <w:t>в Ханты-Мансийском автономном округе – Югре</w:t>
                  </w: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  <w:t>г. Ханты-Мансийск</w:t>
                  </w:r>
                </w:p>
                <w:p w:rsidR="00625AD2" w:rsidRDefault="00625AD2">
                  <w:pPr>
                    <w:pStyle w:val="FR1"/>
                    <w:spacing w:line="240" w:lineRule="auto"/>
                    <w:ind w:left="0" w:firstLine="0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  <w:t>2019 год</w:t>
                  </w:r>
                </w:p>
              </w:txbxContent>
            </v:textbox>
            <w10:wrap type="square"/>
          </v:shape>
        </w:pict>
      </w:r>
    </w:p>
    <w:p w:rsidR="00625AD2" w:rsidRDefault="00625AD2">
      <w:pPr>
        <w:pStyle w:val="FR1"/>
        <w:spacing w:line="240" w:lineRule="auto"/>
        <w:ind w:left="0" w:hanging="18"/>
        <w:jc w:val="center"/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РЕГЛАМЕНТ</w:t>
      </w:r>
    </w:p>
    <w:p w:rsidR="00625AD2" w:rsidRDefault="00625AD2">
      <w:pPr>
        <w:pStyle w:val="FR1"/>
        <w:spacing w:line="240" w:lineRule="auto"/>
        <w:ind w:left="0" w:hanging="18"/>
        <w:jc w:val="center"/>
      </w:pPr>
      <w:r>
        <w:rPr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 xml:space="preserve">осуществления мониторинга общественно-политических, </w:t>
      </w:r>
    </w:p>
    <w:p w:rsidR="00625AD2" w:rsidRDefault="00625AD2">
      <w:pPr>
        <w:pStyle w:val="FR1"/>
        <w:spacing w:line="240" w:lineRule="auto"/>
        <w:ind w:left="0" w:hanging="18"/>
        <w:jc w:val="center"/>
      </w:pPr>
      <w:r>
        <w:rPr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 xml:space="preserve">социально-экономических и иных процессов, </w:t>
      </w:r>
    </w:p>
    <w:p w:rsidR="00625AD2" w:rsidRDefault="00625AD2">
      <w:pPr>
        <w:pStyle w:val="FR1"/>
        <w:spacing w:line="240" w:lineRule="auto"/>
        <w:ind w:left="0" w:hanging="18"/>
        <w:jc w:val="center"/>
      </w:pPr>
      <w:r>
        <w:rPr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 xml:space="preserve">оказывающих влияние на ситуацию в сфере противодействия терроризму </w:t>
      </w:r>
    </w:p>
    <w:p w:rsidR="00625AD2" w:rsidRDefault="00625AD2">
      <w:pPr>
        <w:pStyle w:val="FR1"/>
        <w:spacing w:line="240" w:lineRule="auto"/>
        <w:ind w:left="0" w:hanging="18"/>
        <w:jc w:val="center"/>
      </w:pPr>
      <w:r>
        <w:rPr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>в Ханты-Мансийском автономном округе – Югре</w:t>
      </w:r>
    </w:p>
    <w:p w:rsidR="00625AD2" w:rsidRDefault="00625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25AD2" w:rsidRDefault="00625AD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625AD2" w:rsidRDefault="00625A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Регламент 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Ханты-Мансийском автономном округе – Югре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 в целях реализации решения совместного заседания Национального антитеррористического комитета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Федерального оперативного штаба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(пункт 9.3. протокола от 13.12.2016)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 совместного решения Антитеррористической комиссии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3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автономного округа и Оперативного штаба в автономном округе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(пункт 5.6. протокола № 93/73 от 04.12.2018)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Регламент устанавливает цели, задачи и порядок проведения мониторинга ситуации в сфере противодействия терроризму в автономном округе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4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формирования информационной базы данных мониторинга. 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Мониторинг представляет собой систему мероприятий по наблюдению, изучению, сбору, анализу и оценке информации о развитии общественно-политических, социально-экономических и иных процессов для получения обоснованных представлений о тенденциях их развития, выявления причин, условий и факторов, оказывающих дестабилизирующее влияние и способствующих проявлениям терроризма.</w:t>
      </w:r>
    </w:p>
    <w:p w:rsidR="00625AD2" w:rsidRDefault="00625A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5AD2" w:rsidRDefault="00625AD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Цель и задачи мониторинга</w:t>
      </w:r>
    </w:p>
    <w:p w:rsidR="00625AD2" w:rsidRDefault="00625A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мониторинга является своевременное выявление причин и условий, способствующих проявлениям терроризма в автономном округе, и выработке предложений по их устранению. 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мониторинга решаются следующие задачи: 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Наблюдение, изучение и сбор объективной информации об общественно-политических, социально-экономических и иных процессах в автономном округе, которые могут оказать дестабилизирующее влияние на обстановку и способствующих проявлениям терроризма (объекты мониторинга):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факты затягивания решения органами власти различных проблем и конфликтов политического, социального, национального, территориального, религиозного характера;</w:t>
      </w:r>
    </w:p>
    <w:p w:rsidR="00625AD2" w:rsidRDefault="00625AD2">
      <w:pPr>
        <w:pStyle w:val="ac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деформация нравственных устоев, пропаганда вседозволенности, беззаконие и коррупция;</w:t>
      </w:r>
    </w:p>
    <w:p w:rsidR="00625AD2" w:rsidRDefault="00625AD2">
      <w:pPr>
        <w:pStyle w:val="ac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 деятельность партий, движений, фронтов и организаций, прибегающих к методам насилия;</w:t>
      </w:r>
    </w:p>
    <w:p w:rsidR="00625AD2" w:rsidRDefault="00625AD2">
      <w:pPr>
        <w:pStyle w:val="ac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преступная деятельность криминальных элементов, направленная на дестабилизацию общества; </w:t>
      </w:r>
    </w:p>
    <w:p w:rsidR="00625AD2" w:rsidRDefault="00625AD2">
      <w:pPr>
        <w:pStyle w:val="ac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ослабление системы охраны потенциальных объектов террористических посягательств;</w:t>
      </w:r>
    </w:p>
    <w:p w:rsidR="00625AD2" w:rsidRDefault="00625AD2">
      <w:pPr>
        <w:pStyle w:val="ac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незаконный оборот оружия и боеприпасов;</w:t>
      </w:r>
    </w:p>
    <w:p w:rsidR="00625AD2" w:rsidRDefault="00625AD2">
      <w:pPr>
        <w:pStyle w:val="ac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обострение криминогенной обстановки; </w:t>
      </w:r>
    </w:p>
    <w:p w:rsidR="00625AD2" w:rsidRDefault="00625AD2">
      <w:pPr>
        <w:pStyle w:val="ac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проникновение в автономный округ и деятельность на его территории зарубежных экстремистских, террористических организаций и религиозных сект;</w:t>
      </w:r>
    </w:p>
    <w:p w:rsidR="00625AD2" w:rsidRDefault="00625AD2">
      <w:pPr>
        <w:pStyle w:val="ac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динамика численности населения региона за счет внутренней и внешней миграции;</w:t>
      </w:r>
    </w:p>
    <w:p w:rsidR="00625AD2" w:rsidRDefault="00625AD2">
      <w:pPr>
        <w:pStyle w:val="ac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негативное влияние средств массовой информации, культивирующих насилие, создающих рекламу террористам, принижающих авторитет государственной власти;</w:t>
      </w:r>
    </w:p>
    <w:p w:rsidR="00625AD2" w:rsidRDefault="00625AD2">
      <w:pPr>
        <w:pStyle w:val="ac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распространение методов и способов террористической деятельности через информационные сети, публикация необходимых пособий (пособия по изготовлению взрывчатых веществ из подсобных средств, организации взрывов, совершению убийств, насилия);</w:t>
      </w:r>
    </w:p>
    <w:p w:rsidR="00625AD2" w:rsidRDefault="00625AD2">
      <w:pPr>
        <w:pStyle w:val="ac"/>
        <w:tabs>
          <w:tab w:val="left" w:pos="0"/>
        </w:tabs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прибытие на территорию округа определенного контингента лиц, прошедших школу локальных войн в так называемых «горячих точках», и их недостаточная социальная адаптированность в обществе;</w:t>
      </w:r>
    </w:p>
    <w:p w:rsidR="00625AD2" w:rsidRDefault="00625AD2">
      <w:pPr>
        <w:pStyle w:val="ac"/>
        <w:tabs>
          <w:tab w:val="left" w:pos="0"/>
        </w:tabs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ослабление или отсутствие ряда административно-контрольных правовых режимов;</w:t>
      </w:r>
    </w:p>
    <w:p w:rsidR="00625AD2" w:rsidRDefault="00625AD2">
      <w:pPr>
        <w:pStyle w:val="ac"/>
        <w:tabs>
          <w:tab w:val="left" w:pos="0"/>
        </w:tabs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утрата людьми идеологических и духовных жизненных ориентиров;</w:t>
      </w:r>
    </w:p>
    <w:p w:rsidR="00625AD2" w:rsidRDefault="00625AD2">
      <w:pPr>
        <w:pStyle w:val="ac"/>
        <w:tabs>
          <w:tab w:val="left" w:pos="0"/>
        </w:tabs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обостренное чувство социальной неустроенности, незащищенности у некоторого контингента граждан;</w:t>
      </w:r>
    </w:p>
    <w:p w:rsidR="00625AD2" w:rsidRDefault="00625AD2">
      <w:pPr>
        <w:pStyle w:val="ac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пропаганда (кино, телевидение, пресса, литература) культа жестокости и силы;</w:t>
      </w:r>
    </w:p>
    <w:p w:rsidR="00625AD2" w:rsidRDefault="00625AD2">
      <w:pPr>
        <w:pStyle w:val="ac"/>
        <w:tabs>
          <w:tab w:val="left" w:pos="0"/>
        </w:tabs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обострение и дальнейшее углубление «грязных технологий» в борьбе за власть политических партий, движений, общественных объединений, преследующих политические цели, либо отдельных групп, лидеры которых преследуют собственные узкоэгоистические цели, вплоть до устранения конкурентов различными методами;</w:t>
      </w:r>
    </w:p>
    <w:p w:rsidR="00625AD2" w:rsidRDefault="00625AD2">
      <w:pPr>
        <w:pStyle w:val="ac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обращение к духовному наследию политических, религиозных и других организаций экстремистского толка, в которых культ силы и оружия является обязательным элементом быта и образа жизни.</w:t>
      </w:r>
    </w:p>
    <w:p w:rsidR="00625AD2" w:rsidRDefault="00625AD2">
      <w:pPr>
        <w:pStyle w:val="ac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Указанные выше и ряд других обстоятельств в сочетании с многочисленными этнополитическими, межконфессиональными и другими конфликтами превращаются в почву, на которой возникновение и развитие терроризма становится весьма вероятным.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Обобщение, системный анализ и оценка получаемой информации.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Выработка мер по своевременному выявлению и устранению причин и условий, способствующих проявлению терроризма, снижению уровня защищенности объектов возможных террористических посягательств и степени готовности сил и средств, для минимизации и ликвидации последствий его проявлений.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Обоснование предложений и рекомендаций по планированию и реализации неотложных и долгосрочных мероприятий по устранению причин и условий, оказывающих дестабилизирующее влияние на обстановку в автономном округе и способствующих проявлениям терроризма.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 Ведение информационной базы данных мониторинга (в бумажном или электронном виде), в которой аккумулируются и хронологически систематизируются собранные в ходе наблюдения и изучения объективные сведения об общественно-политических, социально-экономических и иных процессах в автономном округе (справки, отчеты, доклады, обзоры, выписки, фото-видеоматериалы, иные документы и материалы, отвечающие целям и задачам мониторинга).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 Организация информационного взаимодействия субъектов системы мониторинга.</w:t>
      </w:r>
    </w:p>
    <w:p w:rsidR="00625AD2" w:rsidRDefault="00625A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5AD2" w:rsidRDefault="00625AD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</w:p>
    <w:p w:rsidR="00625AD2" w:rsidRDefault="00625AD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 участников мониторинга</w:t>
      </w:r>
    </w:p>
    <w:p w:rsidR="00625AD2" w:rsidRDefault="00625A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Субъектами мониторинга являются: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Департамент внутренней политики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5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Департамент государственной гражданской службы и кадровой политики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6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Департамент гражданской защиты населения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7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Департамент дорожного хозяйства и транспорта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8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Департамент жилищно-коммунального комплекса и энергетики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9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Департамент здравоохранения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0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Департамент информационных технологий и цифрового развития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1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Департамент культуры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2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Департамент образования и молодежной политики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3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Департамент общественных и внешних связей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4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Департамент по управлению государственным имуществом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5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Департамент недропользования и природных ресурсов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6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Департамент промышленности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7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Департамент социального развития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8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Департамент труда и занятости населения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9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Департамент физической культуры и спорта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0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Департамент экономического развития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1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Служба жилищного и строительного надзора автономного округа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2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Аппарат АТК автономного округа;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Аппараты АТК муниципальных образований;</w:t>
      </w:r>
    </w:p>
    <w:p w:rsidR="00625AD2" w:rsidRDefault="00625A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согласованию: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Служба по автономному округу Регионального управления ФСБ России по Тюменской области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3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Управление МВД России по автономному округу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4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Главное управление МЧС России по автономному округу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5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Управление Росгвардии России по автономному округу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6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Управление ФСИН по автономному округу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7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- 6 отделение Центра специальной связи и информации ФСО России в Тюменской области;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Управление Роспотребнадзора по автономному округу;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Прокуратура автономного округа;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Сургутская транспортная прокуратура;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Сургутский Линейный отдел МВД России на транспорте;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Нежнетагильский Линейный отдел МВД России на транспорте;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 Следственное управление Следственного комитета России по автономному округу;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Управление Министерства юстиции по автономному округу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footnoteReference w:id="28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5AD2" w:rsidRDefault="00625A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5AD2" w:rsidRDefault="00625AD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Порядок проведения мониторинга</w:t>
      </w:r>
    </w:p>
    <w:p w:rsidR="00625AD2" w:rsidRDefault="00625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28"/>
        </w:rPr>
      </w:pP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осуществляется в процессе повседневной, основной деятельности субъектов мониторинга, в пределах их компетенции, в соответствии с перечнем показателей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(приложение 1)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Для обеспечения всестороннего и объективного анализа обстановки и своевременной выработки эффективных мер организация мониторинга на территории автономного округа проводится в 4 этапа:</w:t>
      </w:r>
    </w:p>
    <w:p w:rsidR="00625AD2" w:rsidRDefault="00625A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 этап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сбор, анализ и оценка субъектами мониторинга информации, указанной в пункте 1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Регламента.</w:t>
      </w:r>
    </w:p>
    <w:p w:rsidR="00625AD2" w:rsidRDefault="00625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</w:p>
    <w:p w:rsidR="00625AD2" w:rsidRDefault="00625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trike/>
          <w:color w:val="000000"/>
          <w:sz w:val="16"/>
          <w:szCs w:val="16"/>
        </w:rPr>
      </w:pP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2 этап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выявление проблемных вопросов в сфере противодействия терроризму, в том числе: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в правоприменительной практике;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в деятельности по обеспечению антитеррористической защищенности потенциальных объектов террористических посягательств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обеспечению транспортной безопасности;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в противодействии идеологии терроризма;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 в других сферах, оказывающих влияние на террористическую активность населения.</w:t>
      </w:r>
    </w:p>
    <w:p w:rsidR="00625AD2" w:rsidRDefault="00625A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 этап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выработка субъектами Мониторинга предложений и рекомендаций по планированию и реализации неотложных и долгосрочных мероприятий по устранению причин и условий, способствующих проявлениям терроризма и представление их в Аппарат АТК автономного округа в соответствии с приложениями 1 и 2.</w:t>
      </w:r>
    </w:p>
    <w:p w:rsidR="00625AD2" w:rsidRDefault="00625A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 этап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обобщение и анализ Аппаратом АТК автономного округа информации, полученной от субъектов мониторинга, выработка рекомендаций по планированию и реализации неотложных и долгосрочных мероприятий по устранению причин и условий, способствующих проявлениям терроризма и предоставление их к рассмотрению на очередном (при необходимости внеочередном) заседании АТК автономного округа.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25AD2" w:rsidRDefault="00625A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Информационно-аналитические материалы могут содержать: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Анализ выявленных в ходе мониторинга причин, условий и факторов, оказывающих дестабилизирующее влияние на обстановку в автономном округе и способствующих проявлениям терроризма.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Оценку динамики развития выявленных условий и факторов, оказывающих дестабилизирующее влияние на обстановку в автономном округе и способствующих проявлениям терроризма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(по сравнению с аналогичным периодом прошлого года)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Выводы о степени угрозы безопасности для населения и инфраструктуры на территории автономного округа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(с учетом результатов проведенного мониторинга)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Результаты научных исследований и социологических опросов, в ходе которых выявлены негативные факторы, оказывающие дестабилизирующее воздействие на ситуацию в сфере противодействия терроризму.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 Предложения по устранению выявленных причин, условий и факторов, оказывающих дестабилизирующее влияние на обстановку в автономном округе и способствующих проявлениям терроризма.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Проблемные вопросы, связанные с реализацией в автономном округе государственной политики в сфере противодействия терроризму, недостатки в функционировании государственной антитеррористической системы. </w:t>
      </w:r>
    </w:p>
    <w:p w:rsidR="00625AD2" w:rsidRDefault="00625A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Оценки и выводы, сформированные по всем показателям, сопровождаются подтверждающими материалами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(описание фактов, статистические сведения, ссылки на документы, мнения экспертов и т. п.)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Гриф ограничения доступа к предоставляемой информации определяется исполнителем. </w:t>
      </w:r>
    </w:p>
    <w:p w:rsidR="00625AD2" w:rsidRDefault="00625A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Обобщенные материалы являются основой для информационно-аналитических справок, представляемых руководителем Аппарата АТК автономного округа перед заседаниями Комиссии её председателю, в которых отражаются: обстановка на территории региона, угрозообразующие факторы, существующие проблемы в деятельности субъектов противодействия терроризму, а также пути их решения, предложения в повестки и проекты протоколов заседаний АТК автономного округа, иные вопросы, требующие внимания со стороны органов власти.</w:t>
      </w:r>
    </w:p>
    <w:p w:rsidR="00625AD2" w:rsidRDefault="00625AD2">
      <w:pPr>
        <w:pageBreakBefore/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0"/>
          <w:szCs w:val="24"/>
        </w:rPr>
        <w:lastRenderedPageBreak/>
        <w:t>Приложение 1</w:t>
      </w:r>
    </w:p>
    <w:p w:rsidR="00625AD2" w:rsidRDefault="00625AD2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0"/>
          <w:szCs w:val="24"/>
        </w:rPr>
        <w:t>к Регламенту осуществления мониторинга</w:t>
      </w:r>
    </w:p>
    <w:p w:rsidR="00625AD2" w:rsidRDefault="00625AD2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0"/>
          <w:szCs w:val="24"/>
        </w:rPr>
        <w:t xml:space="preserve">общественно-политических, социально-экономических </w:t>
      </w:r>
    </w:p>
    <w:p w:rsidR="00625AD2" w:rsidRDefault="00625AD2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0"/>
          <w:szCs w:val="24"/>
        </w:rPr>
        <w:t>и иных процессов, оказывающих влияние на</w:t>
      </w:r>
    </w:p>
    <w:p w:rsidR="00625AD2" w:rsidRDefault="00625AD2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0"/>
          <w:szCs w:val="24"/>
        </w:rPr>
        <w:t>ситуацию в сфере противодействия терроризму в</w:t>
      </w:r>
    </w:p>
    <w:p w:rsidR="00625AD2" w:rsidRDefault="00625AD2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0"/>
          <w:szCs w:val="24"/>
        </w:rPr>
        <w:t xml:space="preserve"> Ханты-Мансийском автономном округе – Югре</w:t>
      </w:r>
    </w:p>
    <w:p w:rsidR="00625AD2" w:rsidRDefault="00625A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28"/>
        </w:rPr>
      </w:pPr>
    </w:p>
    <w:p w:rsidR="00625AD2" w:rsidRDefault="00625AD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</w:t>
      </w:r>
    </w:p>
    <w:p w:rsidR="00625AD2" w:rsidRDefault="00625AD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показателей мониторинга</w:t>
      </w:r>
    </w:p>
    <w:p w:rsidR="00625AD2" w:rsidRDefault="00625A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731"/>
        <w:gridCol w:w="4933"/>
        <w:gridCol w:w="2083"/>
        <w:gridCol w:w="2343"/>
      </w:tblGrid>
      <w:tr w:rsidR="00625AD2">
        <w:trPr>
          <w:tblHeader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Показатели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color w:val="000000"/>
              </w:rPr>
              <w:t>(отчетный период/АППГ)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Периодичность представления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информации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Субъекты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мониторинга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Состояние социально-экономической обстановки в автономном округе: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ind w:left="-76" w:right="-6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- уровень доходов населения </w:t>
            </w:r>
            <w:r>
              <w:rPr>
                <w:rFonts w:ascii="Times New Roman" w:hAnsi="Times New Roman" w:cs="Times New Roman"/>
                <w:i/>
                <w:color w:val="000000"/>
              </w:rPr>
              <w:t>(руб.)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ежемесячно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 соответствии распоряжением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867-рг</w:t>
            </w:r>
            <w:r>
              <w:rPr>
                <w:rStyle w:val="a7"/>
                <w:rFonts w:ascii="Times New Roman" w:hAnsi="Times New Roman" w:cs="Times New Roman"/>
                <w:color w:val="000000"/>
              </w:rPr>
              <w:footnoteReference w:id="29"/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Дептруда и занятости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- факты задержки выплаты заработной платы </w:t>
            </w:r>
            <w:r>
              <w:rPr>
                <w:rFonts w:ascii="Times New Roman" w:hAnsi="Times New Roman" w:cs="Times New Roman"/>
                <w:i/>
                <w:color w:val="000000"/>
              </w:rPr>
              <w:t>(указываются предприятия без учета субъектов малого предпринимательства)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Дептруда и занятости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- просроченная задолженность по выплате средств на заработную плату </w:t>
            </w:r>
            <w:r>
              <w:rPr>
                <w:rFonts w:ascii="Times New Roman" w:hAnsi="Times New Roman" w:cs="Times New Roman"/>
                <w:i/>
                <w:color w:val="000000"/>
              </w:rPr>
              <w:t>(руб.)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Дептруда и занятости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- факты возникновения коллективных трудовых споров </w:t>
            </w:r>
            <w:r>
              <w:rPr>
                <w:rFonts w:ascii="Times New Roman" w:hAnsi="Times New Roman" w:cs="Times New Roman"/>
                <w:i/>
                <w:color w:val="000000"/>
              </w:rPr>
              <w:t>(указываются предприятия без учета субъектов малого предпринимательства)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Дептруда и занятости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pStyle w:val="LO-Normal"/>
              <w:tabs>
                <w:tab w:val="left" w:pos="284"/>
              </w:tabs>
              <w:ind w:firstLine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коэффициент миграционного прироста </w:t>
            </w:r>
            <w:r>
              <w:rPr>
                <w:i/>
                <w:color w:val="000000"/>
                <w:sz w:val="22"/>
                <w:szCs w:val="22"/>
              </w:rPr>
              <w:t>(на 1000 человек среднегодового населения)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Дептруда и занятости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pStyle w:val="LO-Normal"/>
              <w:tabs>
                <w:tab w:val="left" w:pos="284"/>
              </w:tabs>
              <w:ind w:firstLine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уровень занятости населения по сравнению с аналогичным периодом прошлого года </w:t>
            </w:r>
            <w:r>
              <w:rPr>
                <w:i/>
                <w:color w:val="000000"/>
                <w:sz w:val="22"/>
                <w:szCs w:val="22"/>
              </w:rPr>
              <w:t>(%, повысился или понизился)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Дептруда и занятости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pStyle w:val="LO-Normal"/>
              <w:tabs>
                <w:tab w:val="left" w:pos="284"/>
              </w:tabs>
              <w:ind w:firstLine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уровень безработицы </w:t>
            </w:r>
            <w:r>
              <w:rPr>
                <w:i/>
                <w:color w:val="000000"/>
                <w:sz w:val="22"/>
                <w:szCs w:val="22"/>
              </w:rPr>
              <w:t>(отношение численности зарегистрированных безработных к численности экономически активного населения)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Дептруда и занятости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pStyle w:val="LO-Normal"/>
              <w:tabs>
                <w:tab w:val="left" w:pos="284"/>
              </w:tabs>
              <w:ind w:firstLine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влияние социально-экономических процессов на обстановку в сфере противодействия терроризму </w:t>
            </w:r>
            <w:r>
              <w:rPr>
                <w:i/>
                <w:color w:val="000000"/>
                <w:sz w:val="22"/>
                <w:szCs w:val="22"/>
              </w:rPr>
              <w:t>(краткий анализ)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при подготовке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 заседаниям АТК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 АТК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Аппараты АТК МО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pStyle w:val="LO-Normal"/>
              <w:tabs>
                <w:tab w:val="left" w:pos="284"/>
              </w:tabs>
              <w:ind w:firstLine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Оценка отношения населения к органам государственной власти и органам местного самоуправления автономного округа, степень его протестной активности: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ind w:left="-76" w:right="-6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pStyle w:val="LO-Normal"/>
              <w:tabs>
                <w:tab w:val="left" w:pos="284"/>
              </w:tabs>
              <w:ind w:firstLine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количество публичных мероприятий, проведенных общественными объединениями 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ежемесячно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 соответствии распоряжением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867-рг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Депполитики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pStyle w:val="LO-Normal"/>
              <w:tabs>
                <w:tab w:val="left" w:pos="284"/>
              </w:tabs>
              <w:ind w:firstLine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количество проведенных протестных акций, митингов, шествий </w:t>
            </w:r>
            <w:r>
              <w:rPr>
                <w:i/>
                <w:color w:val="000000"/>
                <w:sz w:val="22"/>
                <w:szCs w:val="22"/>
              </w:rPr>
              <w:t>(с указанием выдвигаемых требований, в т.ч. политической направленности и их участников)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Депполитики Югры</w:t>
            </w:r>
          </w:p>
        </w:tc>
      </w:tr>
      <w:tr w:rsidR="00625AD2">
        <w:trPr>
          <w:trHeight w:val="601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pStyle w:val="LO-Normal"/>
              <w:tabs>
                <w:tab w:val="left" w:pos="284"/>
              </w:tabs>
              <w:ind w:firstLine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влияние политического и протестного потенциала населения на террористическую активность </w:t>
            </w:r>
            <w:r>
              <w:rPr>
                <w:i/>
                <w:color w:val="000000"/>
                <w:sz w:val="22"/>
                <w:szCs w:val="22"/>
              </w:rPr>
              <w:t>(краткий анализ)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при подготовке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 заседаниям АТК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 АТК Югры</w:t>
            </w:r>
          </w:p>
        </w:tc>
      </w:tr>
      <w:tr w:rsidR="00625AD2">
        <w:trPr>
          <w:trHeight w:val="22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pStyle w:val="LO-Normal"/>
              <w:tabs>
                <w:tab w:val="left" w:pos="284"/>
              </w:tabs>
              <w:ind w:firstLine="160"/>
              <w:jc w:val="both"/>
            </w:pPr>
            <w:r>
              <w:rPr>
                <w:color w:val="000000"/>
                <w:sz w:val="22"/>
                <w:szCs w:val="22"/>
              </w:rPr>
              <w:t>Состояние межнациональных и межконфессиональных отношений: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ind w:left="-76" w:right="-6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- наличие религиозных групп и организаций деструктивной направленности, степень их вовлеченности в террористическую деятельность</w:t>
            </w:r>
          </w:p>
          <w:p w:rsidR="00625AD2" w:rsidRDefault="00625AD2">
            <w:pPr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ежемесячно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 соответствии распоряжением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867-рг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УМВД России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ХМАО – Югре;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Минюста России по ХМАО –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Югре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- факты пропаганды национальной, расовой и религиозной розни </w:t>
            </w:r>
            <w:r>
              <w:rPr>
                <w:rFonts w:ascii="Times New Roman" w:hAnsi="Times New Roman" w:cs="Times New Roman"/>
                <w:i/>
                <w:color w:val="000000"/>
              </w:rPr>
              <w:t>(с указанием причин и организаторов)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Депполитики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- факты проявления национального или религиозного экстремизма </w:t>
            </w:r>
            <w:r>
              <w:rPr>
                <w:rFonts w:ascii="Times New Roman" w:hAnsi="Times New Roman" w:cs="Times New Roman"/>
                <w:i/>
                <w:color w:val="000000"/>
              </w:rPr>
              <w:t>(осквернение могил, культовых зданий и иные действия, направленные на разжигание национальной и религиозной розни, и иное с указанием причин и организаторов)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незамедлительно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color w:val="000000"/>
              </w:rPr>
              <w:t>(при наличии)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УМВД России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ХМАО – Югре</w:t>
            </w:r>
          </w:p>
          <w:p w:rsidR="00625AD2" w:rsidRDefault="00625AD2">
            <w:pPr>
              <w:snapToGrid w:val="0"/>
              <w:spacing w:after="0" w:line="240" w:lineRule="auto"/>
              <w:ind w:left="-76" w:right="-65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Состояние преступности в автономном округе: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ind w:left="-76" w:right="-6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- количество преступлений террористического характера</w:t>
            </w:r>
          </w:p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</w:rPr>
              <w:t>(статьи 205, 205.1/2/3/4/5, 206, 208, 211, 277, 278, 279, 295 (1), 317 (2), 318 (3), 360 УК РФ)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два раза в год</w:t>
            </w:r>
            <w:r>
              <w:rPr>
                <w:rStyle w:val="a7"/>
                <w:rFonts w:ascii="Times New Roman" w:hAnsi="Times New Roman" w:cs="Times New Roman"/>
                <w:color w:val="000000"/>
              </w:rPr>
              <w:footnoteReference w:id="30"/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до 25 июня и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 15 октября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УМВД России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ХМАО – Югре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- количество заведомо ложных сообщений об акте терроризма</w:t>
            </w:r>
          </w:p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</w:rPr>
              <w:t>(статья 207 УК РФ)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УМВД России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ХМАО – Югре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- количество преступлений, совершенных на объектах топливно-энергетического комплекса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УМВД России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ХМАО – Югре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- количество преступлений, совершенных на объектах транспортной инфраструктуры и транспортных средствах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Сургутский Линейный отдел МВД России на транспорте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- количество преступлений экстремистского характера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два раза в год</w:t>
            </w:r>
            <w:r>
              <w:rPr>
                <w:rStyle w:val="a7"/>
                <w:rFonts w:ascii="Times New Roman" w:hAnsi="Times New Roman" w:cs="Times New Roman"/>
                <w:color w:val="000000"/>
              </w:rPr>
              <w:footnoteReference w:id="31"/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к 25 июня и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 1 декабря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УМВД России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ХМАО – Югре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- количество преступлений или конфликтов на межнациональной, расовой и религиозной почве</w:t>
            </w:r>
          </w:p>
          <w:p w:rsidR="00625AD2" w:rsidRDefault="00625AD2">
            <w:pPr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УМВД России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ХМАО – Югре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Проблемные вопросы правоприменительной практики в сфере противодействия терроризму и его идеологии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 подготовке к заседаниям АТК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 АТК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Информация о резонансных событиях, способных повлиять на рост социально-политической напряженности в муниципальных образованиях Ханты-Мансийского автономного округа – Югры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два раза в год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до 25 июня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 15 октября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Депполитики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 АТК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Динамика численности населения автономного округа за счет внутренней и внешней миграции: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ind w:left="-76" w:right="-6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- основные группы мигрантов, их численность в процентном соотношении к постоянно проживающему населению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два раза в год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к 25 июня и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 1 декабря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УМВД России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ХМАО – Югре; Дептруда и занятости Югры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- количество прибывших иностранных граждан </w:t>
            </w:r>
            <w:r>
              <w:rPr>
                <w:rFonts w:ascii="Times New Roman" w:hAnsi="Times New Roman" w:cs="Times New Roman"/>
                <w:i/>
                <w:color w:val="000000"/>
              </w:rPr>
              <w:t>(с указанием стран)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УМВД России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ХМАО – Югре; Дептруда и занятости Югры</w:t>
            </w:r>
          </w:p>
        </w:tc>
      </w:tr>
      <w:tr w:rsidR="00625AD2">
        <w:trPr>
          <w:trHeight w:val="684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7.3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- количество граждан, прибывших из северокавказского региона </w:t>
            </w:r>
            <w:r>
              <w:rPr>
                <w:rFonts w:ascii="Times New Roman" w:hAnsi="Times New Roman" w:cs="Times New Roman"/>
                <w:i/>
                <w:color w:val="000000"/>
              </w:rPr>
              <w:t>(с указанием субъекта РФ)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УМВД России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 ХМАО – Югре; Дептруда и занятости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- места сосредоточения мигрантов и их ориентировочная численность </w:t>
            </w:r>
            <w:r>
              <w:rPr>
                <w:rFonts w:ascii="Times New Roman" w:hAnsi="Times New Roman" w:cs="Times New Roman"/>
                <w:i/>
                <w:color w:val="000000"/>
              </w:rPr>
              <w:t>(отдельно по муниципальным образованиям)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УМВД России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ХМАО – Югре; Дептруда и занятости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- влияние миграционных процессов на обстановку в сфере противодействия терроризму </w:t>
            </w:r>
            <w:r>
              <w:rPr>
                <w:rFonts w:ascii="Times New Roman" w:hAnsi="Times New Roman" w:cs="Times New Roman"/>
                <w:i/>
                <w:color w:val="000000"/>
              </w:rPr>
              <w:t>(краткий анализ)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при подготовке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 заседаниям АТК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УМВД России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 ХМАО – Югре;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 АТК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Наличие неисполненных решений НАК, АТК ХМАО – Югры. Причины и принятые меры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при подготовке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 заседаниям АТК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 АТК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Аппараты АТК МО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Основные результаты межведомственного информационного взаимодействия органов государственной власти, территориальных органов федеральных органов исполнительной власти и органов местного самоуправления в сфере противодействия терроризму. Существующие проблемы и недостатки в указанной сфере, принятые меры по их устранению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два раза в год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к 25 июня и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 1 декабря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 АТК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Аппараты АТК МО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Проблемные вопросы в организации и проведении мероприятий в сфере противодействия идеологии терроризма </w:t>
            </w: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(конференции, круглые столы, семинары, митинги)</w:t>
            </w:r>
            <w:r>
              <w:rPr>
                <w:rFonts w:ascii="Times New Roman" w:hAnsi="Times New Roman" w:cs="Times New Roman"/>
                <w:color w:val="000000"/>
              </w:rPr>
              <w:t>, в том числе с привлечением представителей научных кругов, деятелей культуры и гражданского общества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два раза в год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к 25 июня и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 1 декабря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 АТК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Аппараты АТК МО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Результаты адресной профилактической работы с категориями населения, наиболее подверженными влиянию идеологии терроризма или подпавшими под ее влияние </w:t>
            </w: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(молодежь; лица, получившие религиозное, преимущественно исламское образование за рубежом; преступники, отбывшие наказание за террористическую (экстремистскую) деятельность; родственники членов бандподполья)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, количество и виды проведенных профилактических мероприятий, число принявших в них участие лиц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два раза в год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eastAsia="en-US"/>
              </w:rPr>
              <w:t>2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к 25 июня и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 1 декабря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УМВД России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 ХМАО – Югре;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УФСИН России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 ХМАО – Югре;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 АТК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Депполитики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Депобразования и молодежи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Аппараты АТК МО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Количество публикаций негативного характера, о проводимой исполнительными органами государственной власти автономного округа антитеррористической деятельности в автономном округе, в печатных и электронных СМИ. Основные темы, оценка обоснованности критических публикаций, принятые меры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два раза в год</w:t>
            </w:r>
            <w:r>
              <w:rPr>
                <w:rStyle w:val="a7"/>
                <w:rFonts w:ascii="Times New Roman" w:hAnsi="Times New Roman" w:cs="Times New Roman"/>
                <w:color w:val="000000"/>
              </w:rPr>
              <w:footnoteReference w:id="32"/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к 25 июня и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 1 декабря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Департамент общественных и внешних связей Югры;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 АТК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Аппараты АТК МО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сотрудников исполнительных органов государственной власти и органов местного самоуправления, участвующих на постоянной основе в мероприятиях по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профилактике терроризма </w:t>
            </w:r>
            <w:r>
              <w:rPr>
                <w:rFonts w:ascii="Times New Roman" w:hAnsi="Times New Roman" w:cs="Times New Roman"/>
                <w:i/>
                <w:color w:val="000000"/>
              </w:rPr>
              <w:t>(в сравнении с аналогичным периодом прошлого года)</w:t>
            </w:r>
            <w:r>
              <w:rPr>
                <w:rFonts w:ascii="Times New Roman" w:hAnsi="Times New Roman" w:cs="Times New Roman"/>
                <w:color w:val="000000"/>
              </w:rPr>
              <w:t>, из них – прошедших обучение на соответствующих профильных курсах повышения квалификации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два раза в год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к 25 июня и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 1 декабря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Депгосслужбы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Аппараты АТК МО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Вовлеченность населения автономного округа в террористическую деятельность, в том числе количество выехавших из муниципального образования для участия в боевых действиях на стороне международных террористических организаций. Принимаемые меры по недопущению участия жителей в деятельности МТО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два раза в год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2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к 25 июня и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 1 декабря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УМВД России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ХМАО – Югре;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Служба по ХМАО РУФСБ России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 Тюменской области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Число граждан</w:t>
            </w:r>
            <w:r>
              <w:rPr>
                <w:rFonts w:ascii="Times New Roman" w:hAnsi="Times New Roman" w:cs="Times New Roman"/>
                <w:color w:val="000000"/>
              </w:rPr>
              <w:t xml:space="preserve">, прошедших обучение в зарубежных религиозных учебных организациях. Оценка эффективности мероприятий по их адаптации к деятельности в автономном округе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два раза в год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к 25 июня и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 1 декабря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УМВД России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ХМАО – Югре;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Служба по ХМАО РУФСБ России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 Тюменской области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Количество потенциальных объектов террористических посягательств и мест массового пребывания людей в автономном округе, состояние их антитеррористической защищенности. Результаты проведенных обследований </w:t>
            </w: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(проверок)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, выявленные недостатки, принятые меры по их устранению</w:t>
            </w:r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footnoteReference w:id="33"/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два раза в год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к 25 июня и </w:t>
            </w:r>
          </w:p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 15 октября;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ind w:left="-76" w:right="-6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объектов транспортной инфраструктуры и транспортных средств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Депдорхоз и транспорта Югры; Сургутская транспортная прокуратура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– объектов топливно-энергетического комплекса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Депнедра и природных ресурсов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ДепЖКК и энергетики Югры;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Росгвардия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по ХМАО – Югре;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Прокуратура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ХМАО –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16.3.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мест массового пребывания людей и объектов </w:t>
            </w: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(территорий)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Депимущества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Аппараты АТК МО;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Росгвардия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по ХМАО – Югре; Прокуратура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ХМАО –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объектов спорта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Депспорта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Росгвардия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по ХМАО – Югре; Прокуратура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ХМАО –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объектов </w:t>
            </w: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(территорий)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Министерства образования и науки Российской Федерации и объектов </w:t>
            </w: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(территорий)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, относящихся к сфере деятельности Министерства образования и науки Российской Федерации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Депобразования и молодежи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Росгвардия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по ХМАО – Югре; Прокуратура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ХМАО –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16.6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объектов </w:t>
            </w: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(территорий)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сфере культуры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Депкультуры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Росгвардия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по ХМАО – Югре; Прокуратура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ХМАО –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16.7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объектов </w:t>
            </w: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(территорий)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Министерства здравоохранения Российской Федерации и объектов </w:t>
            </w: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(территорий)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, относящихся к сфере деятельности Министерства здравоохранения Российской Федерации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Депздрав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Росгвардия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по ХМАО – Югре; Прокуратура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ХМАО –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16.8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объектов </w:t>
            </w: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(территорий)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Министерства труда и социальной защиты Российской Федерации и объектов </w:t>
            </w: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(территорий)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, относящихся к сфере деятельности Министерства труда и социальной защиты Российской Федерации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Депсоцразвития Югры;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Дептруда и занятости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Росгвардия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по ХМАО – Югре; Прокуратура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ХМАО –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16.9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гостиниц и иных средств размещения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Деппромышленности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УМВД России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 ХМАО – Югре;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Росгвардия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по ХМАО – Югре;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Прокуратура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ХМАО –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торговых объектов </w:t>
            </w: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(территорий)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; розничных рынков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Депэкономики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Росгвардия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по ХМАО – Югре;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Прокуратура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ХМАО –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16.11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объектов водоснабжения и водоотведения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ДепЖКК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 энергетики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Росгвардия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по ХМАО – Югре;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Прокуратура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ХМАО –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16.12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объектов </w:t>
            </w: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(территорий)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Депинформтехнологий Югры;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Департамент общественных и внешних связей Югры;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Росгвардия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по ХМАО – Югре;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Прокуратура </w:t>
            </w:r>
          </w:p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ХМАО – Югры</w:t>
            </w:r>
          </w:p>
        </w:tc>
      </w:tr>
      <w:tr w:rsidR="00625AD2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Состояние антитеррористической защищенности чердачных и подвальных помещений, расположенных в жилищном фонде многоквартирных домов в автономном округе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D2" w:rsidRDefault="00625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2" w:rsidRDefault="00625AD2">
            <w:pPr>
              <w:spacing w:after="0" w:line="240" w:lineRule="auto"/>
              <w:ind w:left="-76" w:right="-65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Жилстройнадзор Югры</w:t>
            </w:r>
          </w:p>
        </w:tc>
      </w:tr>
    </w:tbl>
    <w:p w:rsidR="00625AD2" w:rsidRDefault="00625AD2">
      <w:pPr>
        <w:sectPr w:rsidR="00625AD2">
          <w:headerReference w:type="default" r:id="rId8"/>
          <w:headerReference w:type="first" r:id="rId9"/>
          <w:pgSz w:w="11906" w:h="16838"/>
          <w:pgMar w:top="851" w:right="567" w:bottom="851" w:left="1418" w:header="709" w:footer="720" w:gutter="0"/>
          <w:cols w:space="720"/>
          <w:titlePg/>
          <w:docGrid w:linePitch="360"/>
        </w:sectPr>
      </w:pPr>
    </w:p>
    <w:p w:rsidR="00625AD2" w:rsidRDefault="00625AD2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0"/>
          <w:szCs w:val="24"/>
        </w:rPr>
        <w:lastRenderedPageBreak/>
        <w:t>Приложение 2</w:t>
      </w:r>
    </w:p>
    <w:p w:rsidR="00625AD2" w:rsidRDefault="00625AD2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0"/>
          <w:szCs w:val="24"/>
        </w:rPr>
        <w:t>к Регламенту осуществления мониторинга</w:t>
      </w:r>
    </w:p>
    <w:p w:rsidR="00625AD2" w:rsidRDefault="00625AD2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0"/>
          <w:szCs w:val="24"/>
        </w:rPr>
        <w:t xml:space="preserve">общественно-политических, социально-экономических </w:t>
      </w:r>
    </w:p>
    <w:p w:rsidR="00625AD2" w:rsidRDefault="00625AD2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0"/>
          <w:szCs w:val="24"/>
        </w:rPr>
        <w:t xml:space="preserve">и иных процессов, оказывающих влияние </w:t>
      </w:r>
    </w:p>
    <w:p w:rsidR="00625AD2" w:rsidRDefault="00625AD2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0"/>
          <w:szCs w:val="24"/>
        </w:rPr>
        <w:t>на ситуацию в сфере противодействия терроризму в</w:t>
      </w:r>
    </w:p>
    <w:p w:rsidR="00625AD2" w:rsidRDefault="00625AD2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0"/>
          <w:szCs w:val="24"/>
        </w:rPr>
        <w:t xml:space="preserve"> Ханты-Мансийском автономном округе – Югре</w:t>
      </w:r>
    </w:p>
    <w:p w:rsidR="00625AD2" w:rsidRDefault="00625AD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625AD2" w:rsidRDefault="00625AD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625AD2" w:rsidRDefault="00625AD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 количестве потенциальных объектов террористических посягательств и мест массового пребывания людей в автономном округе, состоянии их антитеррористической защищенности, результатах проверок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(обследований)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выявленных недостатках и принятых мерах по их устранению</w:t>
      </w:r>
    </w:p>
    <w:tbl>
      <w:tblPr>
        <w:tblW w:w="0" w:type="auto"/>
        <w:tblInd w:w="-33" w:type="dxa"/>
        <w:tblLayout w:type="fixed"/>
        <w:tblLook w:val="0000"/>
      </w:tblPr>
      <w:tblGrid>
        <w:gridCol w:w="957"/>
        <w:gridCol w:w="738"/>
        <w:gridCol w:w="738"/>
        <w:gridCol w:w="738"/>
        <w:gridCol w:w="738"/>
        <w:gridCol w:w="738"/>
        <w:gridCol w:w="979"/>
        <w:gridCol w:w="738"/>
        <w:gridCol w:w="738"/>
        <w:gridCol w:w="738"/>
        <w:gridCol w:w="738"/>
        <w:gridCol w:w="738"/>
        <w:gridCol w:w="957"/>
        <w:gridCol w:w="957"/>
        <w:gridCol w:w="2246"/>
        <w:gridCol w:w="2317"/>
      </w:tblGrid>
      <w:tr w:rsidR="00625AD2">
        <w:trPr>
          <w:trHeight w:val="1327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Количество объектов (территорий) и ММПЛ, подлежащих АТЗ</w:t>
            </w:r>
          </w:p>
        </w:tc>
        <w:tc>
          <w:tcPr>
            <w:tcW w:w="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Результаты категорирования объектов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Количество объектов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с оформленными паспортами безопасности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паспортизированных объектов, в отношении которых не выполнены мероприятия по обеспечению их АТЗ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25AD2" w:rsidRDefault="00625A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проведенных контрольными и надзорными органами (иными заинтересованными субъектами профилактики правонарушений) проверок и обследований АТЗ объектов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и результаты заслушиваний лиц, ответственных за обеспечение АТЗ объектов (где заслушан, наименование вопроса, принятые меры воздействия)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Принятые контрольными и надзорными органами  (иными заинтересованными субъектами профилактики правонарушений) меры реагирования, в том числе количество вынесенных предписаний, представлений, результаты их исполнения, количество фактов привлечения к административной ответственности должностных лиц</w:t>
            </w:r>
          </w:p>
        </w:tc>
      </w:tr>
      <w:tr w:rsidR="00625AD2">
        <w:trPr>
          <w:trHeight w:val="146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Всего</w:t>
            </w:r>
          </w:p>
        </w:tc>
        <w:tc>
          <w:tcPr>
            <w:tcW w:w="3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Из них:</w:t>
            </w:r>
          </w:p>
        </w:tc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Всего</w:t>
            </w:r>
          </w:p>
        </w:tc>
        <w:tc>
          <w:tcPr>
            <w:tcW w:w="2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Из них: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625AD2">
        <w:trPr>
          <w:trHeight w:val="1813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25AD2" w:rsidRDefault="00625A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 катег.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 катег.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 катег.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 катег.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Не подлежат категор.</w:t>
            </w: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25AD2" w:rsidRDefault="00625A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 катег.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 катег.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 катег.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 катег.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625AD2">
        <w:trPr>
          <w:trHeight w:val="146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25AD2">
        <w:trPr>
          <w:trHeight w:val="146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AD2" w:rsidRDefault="00625A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AD2" w:rsidRDefault="00625A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625AD2" w:rsidRDefault="00625AD2">
      <w:pPr>
        <w:spacing w:after="0" w:line="240" w:lineRule="auto"/>
        <w:jc w:val="center"/>
      </w:pPr>
    </w:p>
    <w:sectPr w:rsidR="00625AD2">
      <w:headerReference w:type="even" r:id="rId10"/>
      <w:headerReference w:type="default" r:id="rId11"/>
      <w:headerReference w:type="first" r:id="rId12"/>
      <w:pgSz w:w="16838" w:h="11906" w:orient="landscape"/>
      <w:pgMar w:top="1418" w:right="567" w:bottom="567" w:left="567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C61" w:rsidRDefault="00763C61">
      <w:pPr>
        <w:spacing w:after="0" w:line="240" w:lineRule="auto"/>
      </w:pPr>
      <w:r>
        <w:separator/>
      </w:r>
    </w:p>
  </w:endnote>
  <w:endnote w:type="continuationSeparator" w:id="0">
    <w:p w:rsidR="00763C61" w:rsidRDefault="0076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C61" w:rsidRDefault="00763C61">
      <w:pPr>
        <w:spacing w:after="0" w:line="240" w:lineRule="auto"/>
      </w:pPr>
      <w:r>
        <w:separator/>
      </w:r>
    </w:p>
  </w:footnote>
  <w:footnote w:type="continuationSeparator" w:id="0">
    <w:p w:rsidR="00763C61" w:rsidRDefault="00763C61">
      <w:pPr>
        <w:spacing w:after="0" w:line="240" w:lineRule="auto"/>
      </w:pPr>
      <w:r>
        <w:continuationSeparator/>
      </w:r>
    </w:p>
  </w:footnote>
  <w:footnote w:id="1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Регламент, автономный округ, ХМАО – Югра, регион.</w:t>
      </w:r>
    </w:p>
  </w:footnote>
  <w:footnote w:id="2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НАК.</w:t>
      </w:r>
    </w:p>
  </w:footnote>
  <w:footnote w:id="3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АТК.</w:t>
      </w:r>
    </w:p>
  </w:footnote>
  <w:footnote w:id="4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мониторинг.</w:t>
      </w:r>
    </w:p>
  </w:footnote>
  <w:footnote w:id="5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–Депполитики Югры.</w:t>
      </w:r>
    </w:p>
  </w:footnote>
  <w:footnote w:id="6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Депгосслужбы Югры.</w:t>
      </w:r>
    </w:p>
  </w:footnote>
  <w:footnote w:id="7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–Департамент гражданской защиты населения Югры.</w:t>
      </w:r>
    </w:p>
  </w:footnote>
  <w:footnote w:id="8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Депдорхоз и транспорта Югры.</w:t>
      </w:r>
    </w:p>
  </w:footnote>
  <w:footnote w:id="9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ДепЖКК и энергетики Югры.</w:t>
      </w:r>
    </w:p>
  </w:footnote>
  <w:footnote w:id="10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Депздрав Югры.</w:t>
      </w:r>
    </w:p>
  </w:footnote>
  <w:footnote w:id="11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Депинформтехнологий Югры.</w:t>
      </w:r>
    </w:p>
  </w:footnote>
  <w:footnote w:id="12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Депкультуры Югры.</w:t>
      </w:r>
    </w:p>
  </w:footnote>
  <w:footnote w:id="13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Депобразования и молодежи Югры.</w:t>
      </w:r>
    </w:p>
  </w:footnote>
  <w:footnote w:id="14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Департамент общественных и внешних связей Югры.</w:t>
      </w:r>
    </w:p>
  </w:footnote>
  <w:footnote w:id="15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Депимущества Югры.</w:t>
      </w:r>
    </w:p>
  </w:footnote>
  <w:footnote w:id="16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Депнедра и природных ресурсов Югры.</w:t>
      </w:r>
    </w:p>
  </w:footnote>
  <w:footnote w:id="17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Деппромышленности Югры.</w:t>
      </w:r>
    </w:p>
  </w:footnote>
  <w:footnote w:id="18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Депсоцразвития Югры.</w:t>
      </w:r>
    </w:p>
  </w:footnote>
  <w:footnote w:id="19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Дептруда и занятости Югры.</w:t>
      </w:r>
    </w:p>
  </w:footnote>
  <w:footnote w:id="20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Депспорта Югры.</w:t>
      </w:r>
    </w:p>
  </w:footnote>
  <w:footnote w:id="21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Депэкономики Югры.</w:t>
      </w:r>
    </w:p>
  </w:footnote>
  <w:footnote w:id="22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Жилстройнадзор Югры.</w:t>
      </w:r>
    </w:p>
  </w:footnote>
  <w:footnote w:id="23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Служба по ХМАО РУФСБ России по Тюменской области.</w:t>
      </w:r>
    </w:p>
  </w:footnote>
  <w:footnote w:id="24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УМВД России по ХМАО – Югре.</w:t>
      </w:r>
    </w:p>
  </w:footnote>
  <w:footnote w:id="25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ГУ МЧС России по ХМАО – Югре.</w:t>
      </w:r>
    </w:p>
  </w:footnote>
  <w:footnote w:id="26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–Росгвардия по ХМАО – Югре.</w:t>
      </w:r>
    </w:p>
  </w:footnote>
  <w:footnote w:id="27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далее –УФСИН России по ХМАО – Югре.</w:t>
      </w:r>
    </w:p>
  </w:footnote>
  <w:footnote w:id="28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далее – Управление Минюста России по ХМАО – Югре</w:t>
      </w:r>
    </w:p>
  </w:footnote>
  <w:footnote w:id="29">
    <w:p w:rsidR="00625AD2" w:rsidRDefault="00625AD2">
      <w:pPr>
        <w:pStyle w:val="af3"/>
        <w:spacing w:after="0" w:line="240" w:lineRule="auto"/>
        <w:ind w:firstLine="425"/>
        <w:jc w:val="both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Распоряжение Губернатора ХМАО – Югры от 30 декабря 2011 года № 867-рг «О межведомственном информационном взаимодействии в сфере противодействия терроризму» </w:t>
      </w:r>
      <w:r>
        <w:rPr>
          <w:rFonts w:ascii="Times New Roman" w:hAnsi="Times New Roman" w:cs="Times New Roman"/>
          <w:i/>
          <w:sz w:val="19"/>
          <w:szCs w:val="19"/>
        </w:rPr>
        <w:t>(далее – распоряжение № 867-рг)</w:t>
      </w:r>
      <w:r>
        <w:rPr>
          <w:rFonts w:ascii="Times New Roman" w:hAnsi="Times New Roman" w:cs="Times New Roman"/>
          <w:sz w:val="19"/>
          <w:szCs w:val="19"/>
        </w:rPr>
        <w:t>.</w:t>
      </w:r>
    </w:p>
  </w:footnote>
  <w:footnote w:id="30">
    <w:p w:rsidR="00625AD2" w:rsidRDefault="00625AD2">
      <w:pPr>
        <w:pStyle w:val="af3"/>
        <w:spacing w:after="0" w:line="240" w:lineRule="auto"/>
        <w:ind w:firstLine="425"/>
        <w:jc w:val="both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Отдельным разделом при предоставлении информации в Аппарат АТК автономного округа о реализации Плана комплексных мероприятий по профилактике терроризма.</w:t>
      </w:r>
    </w:p>
  </w:footnote>
  <w:footnote w:id="31">
    <w:p w:rsidR="00625AD2" w:rsidRDefault="00625AD2">
      <w:pPr>
        <w:pStyle w:val="af3"/>
        <w:spacing w:after="0" w:line="240" w:lineRule="auto"/>
        <w:ind w:firstLine="425"/>
        <w:jc w:val="both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Отдельным разделом при предоставлении информации в Аппарат АТК автономного округа о реализации Комплексного плана по противодействию идеологии терроризма.</w:t>
      </w:r>
    </w:p>
  </w:footnote>
  <w:footnote w:id="32">
    <w:p w:rsidR="00625AD2" w:rsidRDefault="00625AD2">
      <w:pPr>
        <w:pStyle w:val="af3"/>
        <w:spacing w:after="0" w:line="240" w:lineRule="auto"/>
        <w:ind w:firstLine="425"/>
        <w:jc w:val="both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Вместе с информацией о реализации Комплексного плана по противодействию идеологии терроризма в Ханты-Мансийском автономном округе – Югре на 2019-2023 годы</w:t>
      </w:r>
    </w:p>
  </w:footnote>
  <w:footnote w:id="33">
    <w:p w:rsidR="00625AD2" w:rsidRDefault="00625AD2">
      <w:pPr>
        <w:pStyle w:val="af3"/>
        <w:spacing w:after="0" w:line="240" w:lineRule="auto"/>
        <w:ind w:firstLine="42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 xml:space="preserve"> Представляется по форме, указанной в приложении 2 к настоящему Регламенту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D2" w:rsidRDefault="00625AD2">
    <w:pPr>
      <w:pStyle w:val="af0"/>
      <w:jc w:val="center"/>
      <w:rPr>
        <w:rFonts w:ascii="Times New Roman" w:hAnsi="Times New Roman" w:cs="Times New Roman"/>
        <w:sz w:val="20"/>
        <w:szCs w:val="20"/>
        <w:lang w:val="ru-RU" w:eastAsia="ru-RU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C16A70">
      <w:rPr>
        <w:rFonts w:ascii="Times New Roman" w:hAnsi="Times New Roman" w:cs="Times New Roman"/>
        <w:noProof/>
        <w:sz w:val="20"/>
        <w:szCs w:val="20"/>
      </w:rPr>
      <w:t>12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625AD2" w:rsidRDefault="00625AD2">
    <w:pPr>
      <w:pStyle w:val="af0"/>
      <w:jc w:val="center"/>
      <w:rPr>
        <w:rFonts w:ascii="Times New Roman" w:hAnsi="Times New Roman" w:cs="Times New Roman"/>
        <w:sz w:val="20"/>
        <w:szCs w:val="20"/>
        <w:lang w:val="ru-RU"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D2" w:rsidRDefault="00625AD2">
    <w:pPr>
      <w:pStyle w:val="af0"/>
      <w:jc w:val="cent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D2" w:rsidRDefault="00625AD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D2" w:rsidRDefault="00625AD2">
    <w:pPr>
      <w:pStyle w:val="af0"/>
      <w:jc w:val="center"/>
      <w:rPr>
        <w:rFonts w:ascii="Times New Roman" w:hAnsi="Times New Roman" w:cs="Times New Roman"/>
        <w:sz w:val="20"/>
        <w:szCs w:val="20"/>
        <w:lang w:val="ru-RU" w:eastAsia="ru-RU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625AD2" w:rsidRDefault="00625AD2">
    <w:pPr>
      <w:pStyle w:val="af0"/>
      <w:jc w:val="center"/>
      <w:rPr>
        <w:rFonts w:ascii="Times New Roman" w:hAnsi="Times New Roman" w:cs="Times New Roman"/>
        <w:sz w:val="20"/>
        <w:szCs w:val="20"/>
        <w:lang w:val="ru-RU" w:eastAsia="ru-RU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D2" w:rsidRDefault="00625AD2">
    <w:pPr>
      <w:pStyle w:val="af0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0DC"/>
    <w:rsid w:val="00625AD2"/>
    <w:rsid w:val="006D10DC"/>
    <w:rsid w:val="00763C61"/>
    <w:rsid w:val="007A0105"/>
    <w:rsid w:val="00C1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rPr>
      <w:rFonts w:ascii="Times New Roman" w:hAnsi="Times New Roman" w:cs="Times New Roman"/>
      <w:sz w:val="28"/>
      <w:szCs w:val="28"/>
    </w:rPr>
  </w:style>
  <w:style w:type="character" w:customStyle="1" w:styleId="a6">
    <w:name w:val="Текст сноски Знак"/>
    <w:basedOn w:val="10"/>
  </w:style>
  <w:style w:type="character" w:customStyle="1" w:styleId="a7">
    <w:name w:val="Символ сноски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a8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3">
    <w:name w:val="Знак концевой сноски1"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endnote reference"/>
    <w:rPr>
      <w:vertAlign w:val="superscript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header"/>
    <w:basedOn w:val="a"/>
    <w:pPr>
      <w:spacing w:after="0" w:line="240" w:lineRule="auto"/>
    </w:pPr>
  </w:style>
  <w:style w:type="paragraph" w:styleId="af1">
    <w:name w:val="footer"/>
    <w:basedOn w:val="a"/>
    <w:pPr>
      <w:spacing w:after="0" w:line="240" w:lineRule="auto"/>
    </w:p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styleId="af2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uppressAutoHyphens/>
      <w:autoSpaceDE w:val="0"/>
      <w:spacing w:line="312" w:lineRule="auto"/>
      <w:ind w:left="160" w:firstLine="500"/>
    </w:pPr>
    <w:rPr>
      <w:rFonts w:ascii="Arial Narrow" w:hAnsi="Arial Narrow" w:cs="Arial Narrow"/>
      <w:b/>
      <w:bCs/>
      <w:i/>
      <w:iCs/>
      <w:sz w:val="18"/>
      <w:szCs w:val="18"/>
      <w:lang w:eastAsia="zh-CN"/>
    </w:rPr>
  </w:style>
  <w:style w:type="paragraph" w:styleId="af3">
    <w:name w:val="footnote text"/>
    <w:basedOn w:val="a"/>
    <w:rPr>
      <w:sz w:val="20"/>
      <w:szCs w:val="20"/>
    </w:rPr>
  </w:style>
  <w:style w:type="paragraph" w:customStyle="1" w:styleId="af4">
    <w:name w:val="Содержимое врезки"/>
    <w:basedOn w:val="a"/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23.06.2016 N 182-ФЗ"Об основах системы профилактики правонарушений в Российской Федерации"</vt:lpstr>
    </vt:vector>
  </TitlesOfParts>
  <Company>MultiDVD Team</Company>
  <LinksUpToDate>false</LinksUpToDate>
  <CharactersWithSpaces>23737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23.06.2016 N 182-ФЗ"Об основах системы профилактики правонарушений в Российской Федерации"</dc:title>
  <dc:creator>IsaleevKR</dc:creator>
  <cp:lastModifiedBy>Быстров Александр Владимирович</cp:lastModifiedBy>
  <cp:revision>2</cp:revision>
  <cp:lastPrinted>1601-01-01T00:00:00Z</cp:lastPrinted>
  <dcterms:created xsi:type="dcterms:W3CDTF">2019-02-07T13:13:00Z</dcterms:created>
  <dcterms:modified xsi:type="dcterms:W3CDTF">2019-02-07T13:13:00Z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4018.00.18</vt:lpwstr>
  </property>
</Properties>
</file>