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2B5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7B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B3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4D002A">
        <w:trPr>
          <w:trHeight w:val="305"/>
        </w:trPr>
        <w:tc>
          <w:tcPr>
            <w:tcW w:w="5235" w:type="dxa"/>
          </w:tcPr>
          <w:p w:rsidR="0010194A" w:rsidRDefault="00A64F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12.10.2017 № 466</w:t>
            </w:r>
          </w:p>
        </w:tc>
        <w:tc>
          <w:tcPr>
            <w:tcW w:w="4547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0332" w:rsidTr="00FC2B89">
        <w:trPr>
          <w:trHeight w:val="305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>Развитие культуры</w:t>
      </w:r>
      <w:r w:rsidR="00DF0332">
        <w:rPr>
          <w:b/>
          <w:sz w:val="28"/>
          <w:szCs w:val="28"/>
        </w:rPr>
        <w:t xml:space="preserve"> и туризма 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2014-2020 годы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>Развитие 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туризма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на 2014-2020 годы»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изменений</w:t>
      </w:r>
      <w:r w:rsidR="00B534C2">
        <w:rPr>
          <w:sz w:val="28"/>
          <w:szCs w:val="28"/>
        </w:rPr>
        <w:t>), сообщает следующее:</w:t>
      </w:r>
    </w:p>
    <w:p w:rsidR="0015548E" w:rsidRDefault="0015548E" w:rsidP="00155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5548E" w:rsidRPr="009602C1" w:rsidRDefault="0015548E" w:rsidP="00155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</w:t>
      </w:r>
      <w:r w:rsidR="00514CA1">
        <w:rPr>
          <w:sz w:val="28"/>
          <w:szCs w:val="28"/>
        </w:rPr>
        <w:br/>
      </w:r>
      <w:r w:rsidRPr="009602C1">
        <w:rPr>
          <w:sz w:val="28"/>
          <w:szCs w:val="28"/>
        </w:rPr>
        <w:t xml:space="preserve">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15548E" w:rsidRPr="00256892" w:rsidRDefault="0015548E" w:rsidP="00155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Default="0015548E" w:rsidP="00514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7B0187" w:rsidRDefault="007B0187" w:rsidP="00514CA1">
      <w:pPr>
        <w:ind w:firstLine="709"/>
        <w:jc w:val="both"/>
        <w:rPr>
          <w:sz w:val="28"/>
          <w:szCs w:val="28"/>
        </w:rPr>
      </w:pPr>
    </w:p>
    <w:p w:rsidR="007B0187" w:rsidRDefault="007B0187" w:rsidP="007B01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B64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DD591C" w:rsidRDefault="007B0187" w:rsidP="007C4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п</w:t>
      </w:r>
      <w:r w:rsidR="007C4790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 xml:space="preserve"> </w:t>
      </w:r>
      <w:r w:rsidR="007C4790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«Финансовое обеспечение муниципальной программы» изложить в новой редакции, </w:t>
      </w:r>
      <w:r w:rsidR="003A5090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8</w:t>
      </w:r>
      <w:r w:rsidR="003A509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A5090">
        <w:rPr>
          <w:sz w:val="28"/>
          <w:szCs w:val="28"/>
        </w:rPr>
        <w:t xml:space="preserve"> годы в общей сумме </w:t>
      </w:r>
      <w:r>
        <w:rPr>
          <w:sz w:val="28"/>
          <w:szCs w:val="28"/>
        </w:rPr>
        <w:t>1 820 951,078</w:t>
      </w:r>
      <w:r w:rsidR="003A5090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 xml:space="preserve"> за счёт средств:</w:t>
      </w:r>
    </w:p>
    <w:p w:rsidR="007B0187" w:rsidRDefault="00FE2765" w:rsidP="007B01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0187">
        <w:rPr>
          <w:sz w:val="28"/>
          <w:szCs w:val="28"/>
        </w:rPr>
        <w:t xml:space="preserve"> бюджета муниципального образования в общей сумме 1 590 539,751 тыс. рублей, в том числе</w:t>
      </w:r>
      <w:r>
        <w:rPr>
          <w:sz w:val="28"/>
          <w:szCs w:val="28"/>
        </w:rPr>
        <w:t xml:space="preserve"> на</w:t>
      </w:r>
      <w:r w:rsidR="007B0187">
        <w:rPr>
          <w:sz w:val="28"/>
          <w:szCs w:val="28"/>
        </w:rPr>
        <w:t>:</w:t>
      </w:r>
    </w:p>
    <w:p w:rsidR="007B0187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187">
        <w:rPr>
          <w:sz w:val="28"/>
          <w:szCs w:val="28"/>
        </w:rPr>
        <w:t>2018 год – 444 423,317 тыс. рублей;</w:t>
      </w:r>
    </w:p>
    <w:p w:rsidR="007B0187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187">
        <w:rPr>
          <w:sz w:val="28"/>
          <w:szCs w:val="28"/>
        </w:rPr>
        <w:t>2019 год – 573 055,017 тыс. рублей;</w:t>
      </w:r>
    </w:p>
    <w:p w:rsidR="007B0187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187">
        <w:rPr>
          <w:sz w:val="28"/>
          <w:szCs w:val="28"/>
        </w:rPr>
        <w:t>2020 год – 573 061,417 тыс. рублей;</w:t>
      </w:r>
    </w:p>
    <w:p w:rsidR="003A5090" w:rsidRDefault="00FE2765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418A">
        <w:rPr>
          <w:sz w:val="28"/>
          <w:szCs w:val="28"/>
        </w:rPr>
        <w:t xml:space="preserve"> бюджет</w:t>
      </w:r>
      <w:r w:rsidR="00FD2747">
        <w:rPr>
          <w:sz w:val="28"/>
          <w:szCs w:val="28"/>
        </w:rPr>
        <w:t>а</w:t>
      </w:r>
      <w:r w:rsidR="00EA418A">
        <w:rPr>
          <w:sz w:val="28"/>
          <w:szCs w:val="28"/>
        </w:rPr>
        <w:t xml:space="preserve"> автономного округа в общей сумме </w:t>
      </w:r>
      <w:r w:rsidR="007B0187">
        <w:rPr>
          <w:sz w:val="28"/>
          <w:szCs w:val="28"/>
        </w:rPr>
        <w:t>149 665,397</w:t>
      </w:r>
      <w:r w:rsidR="00EA418A">
        <w:rPr>
          <w:sz w:val="28"/>
          <w:szCs w:val="28"/>
        </w:rPr>
        <w:t xml:space="preserve"> тыс. рублей, </w:t>
      </w:r>
      <w:r w:rsidR="00F96AAF">
        <w:rPr>
          <w:sz w:val="28"/>
          <w:szCs w:val="28"/>
        </w:rPr>
        <w:br/>
      </w:r>
      <w:r w:rsidR="00EA418A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на</w:t>
      </w:r>
      <w:r w:rsidR="00EA418A">
        <w:rPr>
          <w:sz w:val="28"/>
          <w:szCs w:val="28"/>
        </w:rPr>
        <w:t>:</w:t>
      </w:r>
    </w:p>
    <w:p w:rsidR="00EA418A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18A">
        <w:rPr>
          <w:sz w:val="28"/>
          <w:szCs w:val="28"/>
        </w:rPr>
        <w:t>201</w:t>
      </w:r>
      <w:r w:rsidR="007B0187">
        <w:rPr>
          <w:sz w:val="28"/>
          <w:szCs w:val="28"/>
        </w:rPr>
        <w:t>8</w:t>
      </w:r>
      <w:r w:rsidR="00EA418A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146 370,099</w:t>
      </w:r>
      <w:r w:rsidR="007F1978" w:rsidRPr="007F1978">
        <w:rPr>
          <w:sz w:val="28"/>
          <w:szCs w:val="28"/>
        </w:rPr>
        <w:t xml:space="preserve"> </w:t>
      </w:r>
      <w:r w:rsidR="007F1978">
        <w:rPr>
          <w:sz w:val="28"/>
          <w:szCs w:val="28"/>
        </w:rPr>
        <w:t>тыс. рублей</w:t>
      </w:r>
      <w:r w:rsidR="00EA418A">
        <w:rPr>
          <w:sz w:val="28"/>
          <w:szCs w:val="28"/>
        </w:rPr>
        <w:t>;</w:t>
      </w:r>
    </w:p>
    <w:p w:rsidR="00EA418A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18A">
        <w:rPr>
          <w:sz w:val="28"/>
          <w:szCs w:val="28"/>
        </w:rPr>
        <w:t>201</w:t>
      </w:r>
      <w:r w:rsidR="007B0187">
        <w:rPr>
          <w:sz w:val="28"/>
          <w:szCs w:val="28"/>
        </w:rPr>
        <w:t>9</w:t>
      </w:r>
      <w:r w:rsidR="00EA418A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1 811,699</w:t>
      </w:r>
      <w:r w:rsidR="007F1978" w:rsidRPr="007F1978">
        <w:rPr>
          <w:sz w:val="28"/>
          <w:szCs w:val="28"/>
        </w:rPr>
        <w:t xml:space="preserve"> </w:t>
      </w:r>
      <w:r w:rsidR="007F1978">
        <w:rPr>
          <w:sz w:val="28"/>
          <w:szCs w:val="28"/>
        </w:rPr>
        <w:t>тыс. рублей</w:t>
      </w:r>
      <w:r w:rsidR="00EA418A">
        <w:rPr>
          <w:sz w:val="28"/>
          <w:szCs w:val="28"/>
        </w:rPr>
        <w:t>;</w:t>
      </w:r>
    </w:p>
    <w:p w:rsidR="00EA418A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18A">
        <w:rPr>
          <w:sz w:val="28"/>
          <w:szCs w:val="28"/>
        </w:rPr>
        <w:t>20</w:t>
      </w:r>
      <w:r w:rsidR="007B0187">
        <w:rPr>
          <w:sz w:val="28"/>
          <w:szCs w:val="28"/>
        </w:rPr>
        <w:t>20</w:t>
      </w:r>
      <w:r w:rsidR="00EA418A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1 483,599</w:t>
      </w:r>
      <w:r w:rsidR="007F1978" w:rsidRPr="007F1978">
        <w:rPr>
          <w:sz w:val="28"/>
          <w:szCs w:val="28"/>
        </w:rPr>
        <w:t xml:space="preserve"> </w:t>
      </w:r>
      <w:r w:rsidR="007F1978">
        <w:rPr>
          <w:sz w:val="28"/>
          <w:szCs w:val="28"/>
        </w:rPr>
        <w:t>тыс. рублей</w:t>
      </w:r>
      <w:r w:rsidR="00EA418A">
        <w:rPr>
          <w:sz w:val="28"/>
          <w:szCs w:val="28"/>
        </w:rPr>
        <w:t>;</w:t>
      </w:r>
    </w:p>
    <w:p w:rsidR="00EA418A" w:rsidRDefault="00FE2765" w:rsidP="00EA41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418A">
        <w:rPr>
          <w:sz w:val="28"/>
          <w:szCs w:val="28"/>
        </w:rPr>
        <w:t xml:space="preserve"> внебюджетных источников в общей сумме </w:t>
      </w:r>
      <w:r w:rsidR="00FD2747">
        <w:rPr>
          <w:sz w:val="28"/>
          <w:szCs w:val="28"/>
        </w:rPr>
        <w:t>80 745,930</w:t>
      </w:r>
      <w:r w:rsidR="00EA418A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на</w:t>
      </w:r>
      <w:r w:rsidR="00EA418A">
        <w:rPr>
          <w:sz w:val="28"/>
          <w:szCs w:val="28"/>
        </w:rPr>
        <w:t>:</w:t>
      </w:r>
    </w:p>
    <w:p w:rsidR="00EA418A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747">
        <w:rPr>
          <w:sz w:val="28"/>
          <w:szCs w:val="28"/>
        </w:rPr>
        <w:t>на 2018</w:t>
      </w:r>
      <w:r w:rsidR="007F1978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26 697,810</w:t>
      </w:r>
      <w:r w:rsidR="007F1978">
        <w:rPr>
          <w:sz w:val="28"/>
          <w:szCs w:val="28"/>
        </w:rPr>
        <w:t xml:space="preserve"> тыс. рублей;</w:t>
      </w:r>
    </w:p>
    <w:p w:rsidR="007F1978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978">
        <w:rPr>
          <w:sz w:val="28"/>
          <w:szCs w:val="28"/>
        </w:rPr>
        <w:t>на 201</w:t>
      </w:r>
      <w:r w:rsidR="00FD2747">
        <w:rPr>
          <w:sz w:val="28"/>
          <w:szCs w:val="28"/>
        </w:rPr>
        <w:t>9</w:t>
      </w:r>
      <w:r w:rsidR="007F1978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26 929,710</w:t>
      </w:r>
      <w:r w:rsidR="007F1978">
        <w:rPr>
          <w:sz w:val="28"/>
          <w:szCs w:val="28"/>
        </w:rPr>
        <w:t xml:space="preserve"> тыс. рублей;</w:t>
      </w:r>
    </w:p>
    <w:p w:rsidR="007F1978" w:rsidRDefault="00FE2765" w:rsidP="00FE2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978">
        <w:rPr>
          <w:sz w:val="28"/>
          <w:szCs w:val="28"/>
        </w:rPr>
        <w:t>на 20</w:t>
      </w:r>
      <w:r w:rsidR="00FD2747">
        <w:rPr>
          <w:sz w:val="28"/>
          <w:szCs w:val="28"/>
        </w:rPr>
        <w:t>20</w:t>
      </w:r>
      <w:r w:rsidR="007F1978">
        <w:rPr>
          <w:sz w:val="28"/>
          <w:szCs w:val="28"/>
        </w:rPr>
        <w:t xml:space="preserve"> год – </w:t>
      </w:r>
      <w:r w:rsidR="00FD2747">
        <w:rPr>
          <w:sz w:val="28"/>
          <w:szCs w:val="28"/>
        </w:rPr>
        <w:t>27 118,410</w:t>
      </w:r>
      <w:r w:rsidR="007F1978">
        <w:rPr>
          <w:sz w:val="28"/>
          <w:szCs w:val="28"/>
        </w:rPr>
        <w:t xml:space="preserve"> тыс. рублей. </w:t>
      </w:r>
    </w:p>
    <w:p w:rsidR="007F1978" w:rsidRPr="00D30D6B" w:rsidRDefault="007F1978" w:rsidP="007F19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или автономным учреждением.</w:t>
      </w:r>
    </w:p>
    <w:p w:rsidR="007F1978" w:rsidRPr="00D30D6B" w:rsidRDefault="007F1978" w:rsidP="007F19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  (выполнение  работ), а также отражение возможных нарушений и замечаний (при их наличии) будет представлено в заключении Счётной палаты на проект решения о бюджете города на 201</w:t>
      </w:r>
      <w:r w:rsidR="00D30D6B" w:rsidRPr="00D30D6B">
        <w:rPr>
          <w:sz w:val="28"/>
          <w:szCs w:val="28"/>
        </w:rPr>
        <w:t>8</w:t>
      </w:r>
      <w:r w:rsidRPr="00D30D6B">
        <w:rPr>
          <w:sz w:val="28"/>
          <w:szCs w:val="28"/>
        </w:rPr>
        <w:t xml:space="preserve"> год и плановый период 201</w:t>
      </w:r>
      <w:r w:rsidR="00D30D6B" w:rsidRPr="00D30D6B">
        <w:rPr>
          <w:sz w:val="28"/>
          <w:szCs w:val="28"/>
        </w:rPr>
        <w:t>9</w:t>
      </w:r>
      <w:r w:rsidRPr="00D30D6B">
        <w:rPr>
          <w:sz w:val="28"/>
          <w:szCs w:val="28"/>
        </w:rPr>
        <w:t>-20</w:t>
      </w:r>
      <w:r w:rsidR="00D30D6B" w:rsidRPr="00D30D6B">
        <w:rPr>
          <w:sz w:val="28"/>
          <w:szCs w:val="28"/>
        </w:rPr>
        <w:t>20</w:t>
      </w:r>
      <w:r w:rsidRPr="00D30D6B">
        <w:rPr>
          <w:sz w:val="28"/>
          <w:szCs w:val="28"/>
        </w:rPr>
        <w:t xml:space="preserve"> годов.</w:t>
      </w:r>
    </w:p>
    <w:p w:rsidR="003A5090" w:rsidRDefault="007F1978" w:rsidP="007F19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1978">
        <w:rPr>
          <w:sz w:val="28"/>
          <w:szCs w:val="28"/>
        </w:rPr>
        <w:t>Обращаем Ваше внимание, что экспертиза расходов учреждений осуществление которых предполагается за сч</w:t>
      </w:r>
      <w:r w:rsidR="00DE464A">
        <w:rPr>
          <w:sz w:val="28"/>
          <w:szCs w:val="28"/>
        </w:rPr>
        <w:t>ё</w:t>
      </w:r>
      <w:r w:rsidRPr="007F1978">
        <w:rPr>
          <w:sz w:val="28"/>
          <w:szCs w:val="28"/>
        </w:rPr>
        <w:t>т доходов, получаемых учреждениями от приносящей доход деятельн</w:t>
      </w:r>
      <w:r>
        <w:rPr>
          <w:sz w:val="28"/>
          <w:szCs w:val="28"/>
        </w:rPr>
        <w:t xml:space="preserve">ости, не производится, в связи </w:t>
      </w:r>
      <w:r w:rsidR="00DE464A">
        <w:rPr>
          <w:sz w:val="28"/>
          <w:szCs w:val="28"/>
        </w:rPr>
        <w:br/>
      </w:r>
      <w:r w:rsidRPr="007F1978">
        <w:rPr>
          <w:sz w:val="28"/>
          <w:szCs w:val="28"/>
        </w:rPr>
        <w:t>с тем, что поступления от приносящей дох</w:t>
      </w:r>
      <w:r>
        <w:rPr>
          <w:sz w:val="28"/>
          <w:szCs w:val="28"/>
        </w:rPr>
        <w:t xml:space="preserve">од деятельности в соответствии </w:t>
      </w:r>
      <w:r w:rsidR="00DE464A">
        <w:rPr>
          <w:sz w:val="28"/>
          <w:szCs w:val="28"/>
        </w:rPr>
        <w:br/>
      </w:r>
      <w:r w:rsidRPr="007F1978">
        <w:rPr>
          <w:sz w:val="28"/>
          <w:szCs w:val="28"/>
        </w:rPr>
        <w:t xml:space="preserve">с Бюджетным кодексом Российской Федерации не относятся к доходам местного бюджета. В связи с этим данные расходы приводятся в настоящем заключении </w:t>
      </w:r>
      <w:r w:rsidR="00DE464A">
        <w:rPr>
          <w:sz w:val="28"/>
          <w:szCs w:val="28"/>
        </w:rPr>
        <w:br/>
      </w:r>
      <w:r w:rsidRPr="007F1978">
        <w:rPr>
          <w:sz w:val="28"/>
          <w:szCs w:val="28"/>
        </w:rPr>
        <w:t>в качестве справочной информации, в целях отражения всех источников финанси</w:t>
      </w:r>
      <w:r>
        <w:rPr>
          <w:sz w:val="28"/>
          <w:szCs w:val="28"/>
        </w:rPr>
        <w:t>рования муниципальной программы</w:t>
      </w:r>
      <w:r w:rsidR="00D30D6B">
        <w:rPr>
          <w:sz w:val="28"/>
          <w:szCs w:val="28"/>
        </w:rPr>
        <w:t>.</w:t>
      </w:r>
    </w:p>
    <w:p w:rsidR="003A5090" w:rsidRPr="00E50D78" w:rsidRDefault="000C2342" w:rsidP="00F868F8">
      <w:pPr>
        <w:ind w:firstLine="709"/>
        <w:jc w:val="both"/>
        <w:rPr>
          <w:sz w:val="28"/>
          <w:szCs w:val="28"/>
        </w:rPr>
      </w:pPr>
      <w:r w:rsidRPr="00E50D78">
        <w:rPr>
          <w:sz w:val="28"/>
          <w:szCs w:val="28"/>
        </w:rPr>
        <w:t>2.2.</w:t>
      </w:r>
      <w:r w:rsidR="007F1978" w:rsidRPr="00E50D78">
        <w:rPr>
          <w:sz w:val="28"/>
          <w:szCs w:val="28"/>
        </w:rPr>
        <w:t xml:space="preserve"> В приложении 2 «Перечень программных мероприятий» </w:t>
      </w:r>
      <w:r w:rsidR="00F96AAF" w:rsidRPr="00E50D78">
        <w:rPr>
          <w:sz w:val="28"/>
          <w:szCs w:val="28"/>
        </w:rPr>
        <w:br/>
      </w:r>
      <w:r w:rsidR="007F1978" w:rsidRPr="00E50D78">
        <w:rPr>
          <w:sz w:val="28"/>
          <w:szCs w:val="28"/>
        </w:rPr>
        <w:t>к муниципальной программе:</w:t>
      </w:r>
    </w:p>
    <w:p w:rsidR="00955194" w:rsidRPr="00B82A52" w:rsidRDefault="007C4790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2A52">
        <w:rPr>
          <w:sz w:val="28"/>
          <w:szCs w:val="28"/>
        </w:rPr>
        <w:lastRenderedPageBreak/>
        <w:t>2.2.1.</w:t>
      </w:r>
      <w:r w:rsidR="003576B6" w:rsidRPr="00B82A52">
        <w:rPr>
          <w:sz w:val="28"/>
          <w:szCs w:val="28"/>
        </w:rPr>
        <w:t xml:space="preserve"> </w:t>
      </w:r>
      <w:r w:rsidR="00DD591C" w:rsidRPr="00B82A52">
        <w:rPr>
          <w:sz w:val="28"/>
          <w:szCs w:val="28"/>
        </w:rPr>
        <w:t>Ф</w:t>
      </w:r>
      <w:r w:rsidR="003576B6" w:rsidRPr="00B82A52">
        <w:rPr>
          <w:sz w:val="28"/>
          <w:szCs w:val="28"/>
        </w:rPr>
        <w:t>инансирование</w:t>
      </w:r>
      <w:r w:rsidR="00336C87" w:rsidRPr="00B82A52">
        <w:rPr>
          <w:sz w:val="28"/>
          <w:szCs w:val="28"/>
        </w:rPr>
        <w:t xml:space="preserve"> мероприятий подпрограммы 1 «</w:t>
      </w:r>
      <w:r w:rsidR="0073393A" w:rsidRPr="00B82A52">
        <w:rPr>
          <w:sz w:val="28"/>
          <w:szCs w:val="28"/>
        </w:rPr>
        <w:t>Обеспечение прав граждан на доступ к культурным ценностям и информации</w:t>
      </w:r>
      <w:r w:rsidR="00336C87" w:rsidRPr="00B82A52">
        <w:rPr>
          <w:sz w:val="28"/>
          <w:szCs w:val="28"/>
        </w:rPr>
        <w:t>»</w:t>
      </w:r>
      <w:r w:rsidR="00955194" w:rsidRPr="00B82A52">
        <w:rPr>
          <w:sz w:val="28"/>
          <w:szCs w:val="28"/>
        </w:rPr>
        <w:t xml:space="preserve"> следующие изменения:</w:t>
      </w:r>
    </w:p>
    <w:p w:rsidR="006D5DF4" w:rsidRPr="00B82A52" w:rsidRDefault="00E50D78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6C87" w:rsidRPr="00B82A52">
        <w:rPr>
          <w:sz w:val="28"/>
          <w:szCs w:val="28"/>
        </w:rPr>
        <w:t xml:space="preserve"> </w:t>
      </w:r>
      <w:r w:rsidRPr="00B82A52">
        <w:rPr>
          <w:sz w:val="28"/>
          <w:szCs w:val="28"/>
        </w:rPr>
        <w:t>в</w:t>
      </w:r>
      <w:r w:rsidR="00336C87" w:rsidRPr="00B82A52">
        <w:rPr>
          <w:sz w:val="28"/>
          <w:szCs w:val="28"/>
        </w:rPr>
        <w:t xml:space="preserve"> рамках </w:t>
      </w:r>
      <w:r w:rsidR="00955194" w:rsidRPr="00B82A52">
        <w:rPr>
          <w:sz w:val="28"/>
          <w:szCs w:val="28"/>
        </w:rPr>
        <w:t xml:space="preserve">основного мероприятия </w:t>
      </w:r>
      <w:r w:rsidR="00336C87" w:rsidRPr="00B82A52">
        <w:rPr>
          <w:sz w:val="28"/>
          <w:szCs w:val="28"/>
        </w:rPr>
        <w:t>1 «</w:t>
      </w:r>
      <w:r w:rsidR="00955194" w:rsidRPr="00B82A52">
        <w:rPr>
          <w:sz w:val="28"/>
          <w:szCs w:val="28"/>
        </w:rPr>
        <w:t>Развитие библиотечного дела</w:t>
      </w:r>
      <w:r w:rsidR="00336C87" w:rsidRPr="00B82A52">
        <w:rPr>
          <w:sz w:val="28"/>
          <w:szCs w:val="28"/>
        </w:rPr>
        <w:t>»</w:t>
      </w:r>
      <w:r w:rsidR="003F484B" w:rsidRPr="00B82A52">
        <w:rPr>
          <w:sz w:val="28"/>
          <w:szCs w:val="28"/>
        </w:rPr>
        <w:t xml:space="preserve"> по ответственному исполнителю программы – комитету культуры</w:t>
      </w:r>
      <w:r w:rsidR="00B82A52" w:rsidRPr="00B82A52">
        <w:rPr>
          <w:sz w:val="28"/>
          <w:szCs w:val="28"/>
        </w:rPr>
        <w:t xml:space="preserve"> и туризма</w:t>
      </w:r>
      <w:r w:rsidR="003F484B" w:rsidRPr="00B82A52">
        <w:rPr>
          <w:sz w:val="28"/>
          <w:szCs w:val="28"/>
        </w:rPr>
        <w:t xml:space="preserve"> администрации города Нефтеюганска (подведомственное учреждение – МБУК «Городская библиотека»</w:t>
      </w:r>
      <w:r w:rsidR="00A768C4" w:rsidRPr="00B82A52">
        <w:rPr>
          <w:sz w:val="28"/>
          <w:szCs w:val="28"/>
        </w:rPr>
        <w:t xml:space="preserve"> </w:t>
      </w:r>
      <w:r w:rsidR="00CC564E" w:rsidRPr="00B82A52">
        <w:rPr>
          <w:sz w:val="28"/>
          <w:szCs w:val="28"/>
        </w:rPr>
        <w:t>в 201</w:t>
      </w:r>
      <w:r w:rsidR="00B82A52" w:rsidRPr="00B82A52">
        <w:rPr>
          <w:sz w:val="28"/>
          <w:szCs w:val="28"/>
        </w:rPr>
        <w:t>8</w:t>
      </w:r>
      <w:r w:rsidR="00CC564E" w:rsidRPr="00B82A52">
        <w:rPr>
          <w:sz w:val="28"/>
          <w:szCs w:val="28"/>
        </w:rPr>
        <w:t xml:space="preserve"> – 20</w:t>
      </w:r>
      <w:r w:rsidR="00B82A52" w:rsidRPr="00B82A52">
        <w:rPr>
          <w:sz w:val="28"/>
          <w:szCs w:val="28"/>
        </w:rPr>
        <w:t>20</w:t>
      </w:r>
      <w:r w:rsidR="00CC564E" w:rsidRPr="00B82A52">
        <w:rPr>
          <w:sz w:val="28"/>
          <w:szCs w:val="28"/>
        </w:rPr>
        <w:t xml:space="preserve"> годы </w:t>
      </w:r>
      <w:r w:rsidR="00A768C4" w:rsidRPr="00B82A52">
        <w:rPr>
          <w:sz w:val="28"/>
          <w:szCs w:val="28"/>
        </w:rPr>
        <w:t xml:space="preserve">на общую сумму </w:t>
      </w:r>
      <w:r w:rsidR="00B82A52" w:rsidRPr="00B82A52">
        <w:rPr>
          <w:sz w:val="28"/>
          <w:szCs w:val="28"/>
        </w:rPr>
        <w:t>311 321,636</w:t>
      </w:r>
      <w:r w:rsidR="00A768C4" w:rsidRPr="00B82A52">
        <w:rPr>
          <w:sz w:val="28"/>
          <w:szCs w:val="28"/>
        </w:rPr>
        <w:t xml:space="preserve"> тыс. рублей, в том числе из</w:t>
      </w:r>
      <w:r w:rsidR="00AE2552" w:rsidRPr="00B82A52">
        <w:rPr>
          <w:sz w:val="28"/>
          <w:szCs w:val="28"/>
        </w:rPr>
        <w:t>:</w:t>
      </w:r>
      <w:r w:rsidR="00A768C4" w:rsidRPr="00B82A52">
        <w:rPr>
          <w:sz w:val="28"/>
          <w:szCs w:val="28"/>
        </w:rPr>
        <w:t xml:space="preserve"> бюджета автономного округа – </w:t>
      </w:r>
      <w:r w:rsidR="00B82A52" w:rsidRPr="00B82A52">
        <w:rPr>
          <w:sz w:val="28"/>
          <w:szCs w:val="28"/>
        </w:rPr>
        <w:t>32 245,600</w:t>
      </w:r>
      <w:r w:rsidR="00973E88" w:rsidRPr="00B82A52">
        <w:rPr>
          <w:sz w:val="28"/>
          <w:szCs w:val="28"/>
        </w:rPr>
        <w:t xml:space="preserve"> </w:t>
      </w:r>
      <w:r w:rsidR="00A768C4" w:rsidRPr="00B82A52">
        <w:rPr>
          <w:sz w:val="28"/>
          <w:szCs w:val="28"/>
        </w:rPr>
        <w:t xml:space="preserve">тыс. рублей, муниципального образования – </w:t>
      </w:r>
      <w:r w:rsidR="00B82A52" w:rsidRPr="00B82A52">
        <w:rPr>
          <w:sz w:val="28"/>
          <w:szCs w:val="28"/>
        </w:rPr>
        <w:t>276 623,036</w:t>
      </w:r>
      <w:r w:rsidR="00A768C4" w:rsidRPr="00B82A52">
        <w:rPr>
          <w:sz w:val="28"/>
          <w:szCs w:val="28"/>
        </w:rPr>
        <w:t xml:space="preserve"> тыс. рублей, </w:t>
      </w:r>
      <w:r w:rsidR="00973E88" w:rsidRPr="00B82A52">
        <w:rPr>
          <w:sz w:val="28"/>
          <w:szCs w:val="28"/>
        </w:rPr>
        <w:t xml:space="preserve">внебюджетных источников – </w:t>
      </w:r>
      <w:r w:rsidR="00B82A52" w:rsidRPr="00B82A52">
        <w:rPr>
          <w:sz w:val="28"/>
          <w:szCs w:val="28"/>
        </w:rPr>
        <w:t>2 453</w:t>
      </w:r>
      <w:r w:rsidR="00973E88" w:rsidRPr="00B82A52">
        <w:rPr>
          <w:sz w:val="28"/>
          <w:szCs w:val="28"/>
        </w:rPr>
        <w:t xml:space="preserve">,000 тыс. рублей, </w:t>
      </w:r>
      <w:r w:rsidR="00A768C4" w:rsidRPr="00B82A52">
        <w:rPr>
          <w:sz w:val="28"/>
          <w:szCs w:val="28"/>
        </w:rPr>
        <w:t>а именно</w:t>
      </w:r>
      <w:r w:rsidR="003576B6" w:rsidRPr="00B82A52">
        <w:rPr>
          <w:sz w:val="28"/>
          <w:szCs w:val="28"/>
        </w:rPr>
        <w:t>:</w:t>
      </w:r>
    </w:p>
    <w:p w:rsidR="008539B1" w:rsidRPr="00F6746F" w:rsidRDefault="008539B1" w:rsidP="008539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746F">
        <w:rPr>
          <w:sz w:val="28"/>
          <w:szCs w:val="28"/>
        </w:rPr>
        <w:t xml:space="preserve">- в </w:t>
      </w:r>
      <w:r w:rsidR="0004298C" w:rsidRPr="00F6746F">
        <w:rPr>
          <w:sz w:val="28"/>
          <w:szCs w:val="28"/>
        </w:rPr>
        <w:t>201</w:t>
      </w:r>
      <w:r w:rsidR="00215E39" w:rsidRPr="00F6746F">
        <w:rPr>
          <w:sz w:val="28"/>
          <w:szCs w:val="28"/>
        </w:rPr>
        <w:t>8</w:t>
      </w:r>
      <w:r w:rsidR="0004298C" w:rsidRPr="00F6746F">
        <w:rPr>
          <w:sz w:val="28"/>
          <w:szCs w:val="28"/>
        </w:rPr>
        <w:t xml:space="preserve"> году на сумму </w:t>
      </w:r>
      <w:r w:rsidR="00215E39" w:rsidRPr="00F6746F">
        <w:rPr>
          <w:sz w:val="28"/>
          <w:szCs w:val="28"/>
        </w:rPr>
        <w:t>103 770,212</w:t>
      </w:r>
      <w:r w:rsidR="003576B6" w:rsidRPr="00F6746F">
        <w:rPr>
          <w:sz w:val="28"/>
          <w:szCs w:val="28"/>
        </w:rPr>
        <w:t xml:space="preserve"> тыс. рублей, из них за сч</w:t>
      </w:r>
      <w:r w:rsidR="005614CE" w:rsidRPr="00F6746F">
        <w:rPr>
          <w:sz w:val="28"/>
          <w:szCs w:val="28"/>
        </w:rPr>
        <w:t>ё</w:t>
      </w:r>
      <w:r w:rsidRPr="00F6746F">
        <w:rPr>
          <w:sz w:val="28"/>
          <w:szCs w:val="28"/>
        </w:rPr>
        <w:t>т средств</w:t>
      </w:r>
      <w:r w:rsidR="003576B6" w:rsidRPr="00F6746F">
        <w:rPr>
          <w:sz w:val="28"/>
          <w:szCs w:val="28"/>
        </w:rPr>
        <w:t xml:space="preserve"> бюджета автономного округа – </w:t>
      </w:r>
      <w:r w:rsidR="00215E39" w:rsidRPr="00F6746F">
        <w:rPr>
          <w:sz w:val="28"/>
          <w:szCs w:val="28"/>
        </w:rPr>
        <w:t>30 998,800</w:t>
      </w:r>
      <w:r w:rsidR="003576B6" w:rsidRPr="00F6746F">
        <w:rPr>
          <w:sz w:val="28"/>
          <w:szCs w:val="28"/>
        </w:rPr>
        <w:t xml:space="preserve"> тыс. рублей</w:t>
      </w:r>
      <w:r w:rsidRPr="00F6746F">
        <w:rPr>
          <w:sz w:val="28"/>
          <w:szCs w:val="28"/>
        </w:rPr>
        <w:t>,</w:t>
      </w:r>
      <w:r w:rsidR="003576B6" w:rsidRPr="00F6746F">
        <w:rPr>
          <w:sz w:val="28"/>
          <w:szCs w:val="28"/>
        </w:rPr>
        <w:t xml:space="preserve"> местного бюджета – </w:t>
      </w:r>
      <w:r w:rsidR="00215E39" w:rsidRPr="00F6746F">
        <w:rPr>
          <w:sz w:val="28"/>
          <w:szCs w:val="28"/>
        </w:rPr>
        <w:t>71 957,412</w:t>
      </w:r>
      <w:r w:rsidR="00310DAC" w:rsidRPr="00F6746F">
        <w:rPr>
          <w:sz w:val="28"/>
          <w:szCs w:val="28"/>
        </w:rPr>
        <w:t xml:space="preserve"> тыс. рублей</w:t>
      </w:r>
      <w:r w:rsidRPr="00F6746F">
        <w:rPr>
          <w:sz w:val="28"/>
          <w:szCs w:val="28"/>
        </w:rPr>
        <w:t>,</w:t>
      </w:r>
      <w:r w:rsidR="00EA6D32" w:rsidRPr="00F6746F">
        <w:rPr>
          <w:sz w:val="28"/>
          <w:szCs w:val="28"/>
        </w:rPr>
        <w:t xml:space="preserve"> внебюджетных источников – </w:t>
      </w:r>
      <w:r w:rsidR="00215E39" w:rsidRPr="00F6746F">
        <w:rPr>
          <w:sz w:val="28"/>
          <w:szCs w:val="28"/>
        </w:rPr>
        <w:t>814</w:t>
      </w:r>
      <w:r w:rsidR="00EA6D32" w:rsidRPr="00F6746F">
        <w:rPr>
          <w:sz w:val="28"/>
          <w:szCs w:val="28"/>
        </w:rPr>
        <w:t>,000 тыс. рублей;</w:t>
      </w:r>
      <w:r w:rsidRPr="00F6746F">
        <w:rPr>
          <w:sz w:val="28"/>
          <w:szCs w:val="28"/>
        </w:rPr>
        <w:t xml:space="preserve"> </w:t>
      </w:r>
    </w:p>
    <w:p w:rsidR="004A1128" w:rsidRPr="00F6746F" w:rsidRDefault="008539B1" w:rsidP="00F86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746F">
        <w:rPr>
          <w:sz w:val="28"/>
          <w:szCs w:val="28"/>
        </w:rPr>
        <w:t xml:space="preserve">- в </w:t>
      </w:r>
      <w:r w:rsidR="003576B6" w:rsidRPr="00F6746F">
        <w:rPr>
          <w:sz w:val="28"/>
          <w:szCs w:val="28"/>
        </w:rPr>
        <w:t>201</w:t>
      </w:r>
      <w:r w:rsidR="00215E39" w:rsidRPr="00F6746F">
        <w:rPr>
          <w:sz w:val="28"/>
          <w:szCs w:val="28"/>
        </w:rPr>
        <w:t>9</w:t>
      </w:r>
      <w:r w:rsidR="003576B6" w:rsidRPr="00F6746F">
        <w:rPr>
          <w:sz w:val="28"/>
          <w:szCs w:val="28"/>
        </w:rPr>
        <w:t xml:space="preserve"> году на сумму </w:t>
      </w:r>
      <w:r w:rsidR="00215E39" w:rsidRPr="00F6746F">
        <w:rPr>
          <w:sz w:val="28"/>
          <w:szCs w:val="28"/>
        </w:rPr>
        <w:t>103 775,212</w:t>
      </w:r>
      <w:r w:rsidR="003576B6" w:rsidRPr="00F6746F">
        <w:rPr>
          <w:sz w:val="28"/>
          <w:szCs w:val="28"/>
        </w:rPr>
        <w:t xml:space="preserve"> тыс. рублей, из них за сч</w:t>
      </w:r>
      <w:r w:rsidR="005614CE" w:rsidRPr="00F6746F">
        <w:rPr>
          <w:sz w:val="28"/>
          <w:szCs w:val="28"/>
        </w:rPr>
        <w:t>ё</w:t>
      </w:r>
      <w:r w:rsidR="003576B6" w:rsidRPr="00F6746F">
        <w:rPr>
          <w:sz w:val="28"/>
          <w:szCs w:val="28"/>
        </w:rPr>
        <w:t xml:space="preserve">т средств бюджета автономного округа – </w:t>
      </w:r>
      <w:r w:rsidR="0009267E" w:rsidRPr="00F6746F">
        <w:rPr>
          <w:sz w:val="28"/>
          <w:szCs w:val="28"/>
        </w:rPr>
        <w:t>623,400</w:t>
      </w:r>
      <w:r w:rsidR="003576B6" w:rsidRPr="00F6746F">
        <w:rPr>
          <w:sz w:val="28"/>
          <w:szCs w:val="28"/>
        </w:rPr>
        <w:t xml:space="preserve"> тыс. рублей</w:t>
      </w:r>
      <w:r w:rsidRPr="00F6746F">
        <w:rPr>
          <w:sz w:val="28"/>
          <w:szCs w:val="28"/>
        </w:rPr>
        <w:t>,</w:t>
      </w:r>
      <w:r w:rsidR="003576B6" w:rsidRPr="00F6746F">
        <w:rPr>
          <w:sz w:val="28"/>
          <w:szCs w:val="28"/>
        </w:rPr>
        <w:t xml:space="preserve"> местного бюджета – </w:t>
      </w:r>
      <w:r w:rsidR="0009267E" w:rsidRPr="00F6746F">
        <w:rPr>
          <w:sz w:val="28"/>
          <w:szCs w:val="28"/>
        </w:rPr>
        <w:t>102 332,812</w:t>
      </w:r>
      <w:r w:rsidRPr="00F6746F">
        <w:rPr>
          <w:sz w:val="28"/>
          <w:szCs w:val="28"/>
        </w:rPr>
        <w:t xml:space="preserve"> тыс. рублей, </w:t>
      </w:r>
      <w:r w:rsidR="004A1128" w:rsidRPr="00F6746F">
        <w:rPr>
          <w:sz w:val="28"/>
          <w:szCs w:val="28"/>
        </w:rPr>
        <w:t>внебюджетных источников – 81</w:t>
      </w:r>
      <w:r w:rsidR="0009267E" w:rsidRPr="00F6746F">
        <w:rPr>
          <w:sz w:val="28"/>
          <w:szCs w:val="28"/>
        </w:rPr>
        <w:t>9</w:t>
      </w:r>
      <w:r w:rsidR="004A1128" w:rsidRPr="00F6746F">
        <w:rPr>
          <w:sz w:val="28"/>
          <w:szCs w:val="28"/>
        </w:rPr>
        <w:t>,000 тыс. рублей;</w:t>
      </w:r>
    </w:p>
    <w:p w:rsidR="00353F24" w:rsidRPr="00F6746F" w:rsidRDefault="008539B1" w:rsidP="008539B1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746F">
        <w:rPr>
          <w:sz w:val="28"/>
          <w:szCs w:val="28"/>
        </w:rPr>
        <w:t>- в</w:t>
      </w:r>
      <w:r w:rsidR="003576B6" w:rsidRPr="00F6746F">
        <w:rPr>
          <w:sz w:val="28"/>
          <w:szCs w:val="28"/>
        </w:rPr>
        <w:t xml:space="preserve"> 20</w:t>
      </w:r>
      <w:r w:rsidR="00215E39" w:rsidRPr="00F6746F">
        <w:rPr>
          <w:sz w:val="28"/>
          <w:szCs w:val="28"/>
        </w:rPr>
        <w:t>20</w:t>
      </w:r>
      <w:r w:rsidR="003576B6" w:rsidRPr="00F6746F">
        <w:rPr>
          <w:sz w:val="28"/>
          <w:szCs w:val="28"/>
        </w:rPr>
        <w:t xml:space="preserve"> году на сумму </w:t>
      </w:r>
      <w:r w:rsidR="00713928" w:rsidRPr="00F6746F">
        <w:rPr>
          <w:sz w:val="28"/>
          <w:szCs w:val="28"/>
        </w:rPr>
        <w:t>103 776,212</w:t>
      </w:r>
      <w:r w:rsidR="003576B6" w:rsidRPr="00F6746F">
        <w:rPr>
          <w:sz w:val="28"/>
          <w:szCs w:val="28"/>
        </w:rPr>
        <w:t xml:space="preserve"> тыс. рублей, из них за сч</w:t>
      </w:r>
      <w:r w:rsidR="005614CE" w:rsidRPr="00F6746F">
        <w:rPr>
          <w:sz w:val="28"/>
          <w:szCs w:val="28"/>
        </w:rPr>
        <w:t>ё</w:t>
      </w:r>
      <w:r w:rsidRPr="00F6746F">
        <w:rPr>
          <w:sz w:val="28"/>
          <w:szCs w:val="28"/>
        </w:rPr>
        <w:t>т средств</w:t>
      </w:r>
      <w:r w:rsidR="003576B6" w:rsidRPr="00F6746F">
        <w:rPr>
          <w:sz w:val="28"/>
          <w:szCs w:val="28"/>
        </w:rPr>
        <w:t xml:space="preserve"> бюджета автономного округа – </w:t>
      </w:r>
      <w:r w:rsidR="00713928" w:rsidRPr="00F6746F">
        <w:rPr>
          <w:sz w:val="28"/>
          <w:szCs w:val="28"/>
        </w:rPr>
        <w:t>623 400,000</w:t>
      </w:r>
      <w:r w:rsidR="003576B6" w:rsidRPr="00F6746F">
        <w:rPr>
          <w:sz w:val="28"/>
          <w:szCs w:val="28"/>
        </w:rPr>
        <w:t xml:space="preserve"> тыс. рублей</w:t>
      </w:r>
      <w:r w:rsidRPr="00F6746F">
        <w:rPr>
          <w:sz w:val="28"/>
          <w:szCs w:val="28"/>
        </w:rPr>
        <w:t xml:space="preserve">, </w:t>
      </w:r>
      <w:r w:rsidR="003576B6" w:rsidRPr="00F6746F">
        <w:rPr>
          <w:sz w:val="28"/>
          <w:szCs w:val="28"/>
        </w:rPr>
        <w:t xml:space="preserve">местного бюджета – </w:t>
      </w:r>
      <w:r w:rsidR="00713928" w:rsidRPr="00F6746F">
        <w:rPr>
          <w:sz w:val="28"/>
          <w:szCs w:val="28"/>
        </w:rPr>
        <w:t>102 332,812</w:t>
      </w:r>
      <w:r w:rsidR="003576B6" w:rsidRPr="00F6746F">
        <w:rPr>
          <w:sz w:val="28"/>
          <w:szCs w:val="28"/>
        </w:rPr>
        <w:t xml:space="preserve"> тыс. рублей</w:t>
      </w:r>
      <w:r w:rsidRPr="00F6746F">
        <w:rPr>
          <w:sz w:val="28"/>
          <w:szCs w:val="28"/>
        </w:rPr>
        <w:t>,</w:t>
      </w:r>
      <w:r w:rsidR="00353F24" w:rsidRPr="00F6746F">
        <w:rPr>
          <w:sz w:val="28"/>
          <w:szCs w:val="28"/>
        </w:rPr>
        <w:t xml:space="preserve"> внебюджетных источников – 8</w:t>
      </w:r>
      <w:r w:rsidR="00713928" w:rsidRPr="00F6746F">
        <w:rPr>
          <w:sz w:val="28"/>
          <w:szCs w:val="28"/>
        </w:rPr>
        <w:t>20</w:t>
      </w:r>
      <w:r w:rsidR="00353F24" w:rsidRPr="00F6746F">
        <w:rPr>
          <w:sz w:val="28"/>
          <w:szCs w:val="28"/>
        </w:rPr>
        <w:t>,000 тыс. рублей</w:t>
      </w:r>
      <w:r w:rsidRPr="00F6746F">
        <w:rPr>
          <w:sz w:val="28"/>
          <w:szCs w:val="28"/>
        </w:rPr>
        <w:t>.</w:t>
      </w:r>
    </w:p>
    <w:p w:rsidR="00353F24" w:rsidRPr="00F6746F" w:rsidRDefault="00201153" w:rsidP="00D137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746F">
        <w:rPr>
          <w:sz w:val="28"/>
          <w:szCs w:val="28"/>
        </w:rPr>
        <w:t>Согласно письму департамента финансов Ханты-Мансийского автономного округа – Югры, доведены проектируемые объ</w:t>
      </w:r>
      <w:r w:rsidR="00157641" w:rsidRPr="00F6746F">
        <w:rPr>
          <w:sz w:val="28"/>
          <w:szCs w:val="28"/>
        </w:rPr>
        <w:t>ё</w:t>
      </w:r>
      <w:r w:rsidRPr="00F6746F">
        <w:rPr>
          <w:sz w:val="28"/>
          <w:szCs w:val="28"/>
        </w:rPr>
        <w:t>мы бюджетных трансфертов на 201</w:t>
      </w:r>
      <w:r w:rsidR="00157641" w:rsidRPr="00F6746F">
        <w:rPr>
          <w:sz w:val="28"/>
          <w:szCs w:val="28"/>
        </w:rPr>
        <w:t>8</w:t>
      </w:r>
      <w:r w:rsidRPr="00F6746F">
        <w:rPr>
          <w:sz w:val="28"/>
          <w:szCs w:val="28"/>
        </w:rPr>
        <w:t xml:space="preserve"> год и плановый период 201</w:t>
      </w:r>
      <w:r w:rsidR="00157641" w:rsidRPr="00F6746F">
        <w:rPr>
          <w:sz w:val="28"/>
          <w:szCs w:val="28"/>
        </w:rPr>
        <w:t>9</w:t>
      </w:r>
      <w:r w:rsidRPr="00F6746F">
        <w:rPr>
          <w:sz w:val="28"/>
          <w:szCs w:val="28"/>
        </w:rPr>
        <w:t xml:space="preserve"> и 20</w:t>
      </w:r>
      <w:r w:rsidR="00157641" w:rsidRPr="00F6746F">
        <w:rPr>
          <w:sz w:val="28"/>
          <w:szCs w:val="28"/>
        </w:rPr>
        <w:t>20</w:t>
      </w:r>
      <w:r w:rsidRPr="00F6746F">
        <w:rPr>
          <w:sz w:val="28"/>
          <w:szCs w:val="28"/>
        </w:rPr>
        <w:t xml:space="preserve"> годов, МБУК «Городская библиотека» планируется выделение финансовых средств в 201</w:t>
      </w:r>
      <w:r w:rsidR="00157641" w:rsidRPr="00F6746F">
        <w:rPr>
          <w:sz w:val="28"/>
          <w:szCs w:val="28"/>
        </w:rPr>
        <w:t>8</w:t>
      </w:r>
      <w:r w:rsidRPr="00F6746F">
        <w:rPr>
          <w:sz w:val="28"/>
          <w:szCs w:val="28"/>
        </w:rPr>
        <w:t xml:space="preserve"> году на реализацию мероприятия «Модернизация общедоступных муниципальных библиотек» в сумме </w:t>
      </w:r>
      <w:r w:rsidR="00157641" w:rsidRPr="00F6746F">
        <w:rPr>
          <w:sz w:val="28"/>
          <w:szCs w:val="28"/>
        </w:rPr>
        <w:t>623,400</w:t>
      </w:r>
      <w:r w:rsidRPr="00F6746F">
        <w:rPr>
          <w:sz w:val="28"/>
          <w:szCs w:val="28"/>
        </w:rPr>
        <w:t xml:space="preserve"> тыс. рублей</w:t>
      </w:r>
      <w:r w:rsidR="00434179" w:rsidRPr="00F6746F">
        <w:rPr>
          <w:sz w:val="28"/>
          <w:szCs w:val="28"/>
        </w:rPr>
        <w:t>, проект на 201</w:t>
      </w:r>
      <w:r w:rsidR="00157641" w:rsidRPr="00F6746F">
        <w:rPr>
          <w:sz w:val="28"/>
          <w:szCs w:val="28"/>
        </w:rPr>
        <w:t>9</w:t>
      </w:r>
      <w:r w:rsidR="00434179" w:rsidRPr="00F6746F">
        <w:rPr>
          <w:sz w:val="28"/>
          <w:szCs w:val="28"/>
        </w:rPr>
        <w:t xml:space="preserve"> год – </w:t>
      </w:r>
      <w:r w:rsidR="00157641" w:rsidRPr="00F6746F">
        <w:rPr>
          <w:sz w:val="28"/>
          <w:szCs w:val="28"/>
        </w:rPr>
        <w:t>623,400</w:t>
      </w:r>
      <w:r w:rsidR="00434179" w:rsidRPr="00F6746F">
        <w:rPr>
          <w:sz w:val="28"/>
          <w:szCs w:val="28"/>
        </w:rPr>
        <w:t xml:space="preserve"> тыс. рублей</w:t>
      </w:r>
      <w:r w:rsidR="00157641" w:rsidRPr="00F6746F">
        <w:rPr>
          <w:sz w:val="28"/>
          <w:szCs w:val="28"/>
        </w:rPr>
        <w:t>, проект на 2020 год – 623,400 тыс. рублей.</w:t>
      </w:r>
    </w:p>
    <w:p w:rsidR="00310DAC" w:rsidRPr="003E47C3" w:rsidRDefault="00E50D78" w:rsidP="00EC09D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484B" w:rsidRPr="003E47C3">
        <w:rPr>
          <w:sz w:val="28"/>
          <w:szCs w:val="28"/>
        </w:rPr>
        <w:t xml:space="preserve"> </w:t>
      </w:r>
      <w:r w:rsidRPr="003E47C3">
        <w:rPr>
          <w:sz w:val="28"/>
          <w:szCs w:val="28"/>
        </w:rPr>
        <w:t>в</w:t>
      </w:r>
      <w:r w:rsidR="003F484B" w:rsidRPr="003E47C3">
        <w:rPr>
          <w:sz w:val="28"/>
          <w:szCs w:val="28"/>
        </w:rPr>
        <w:t xml:space="preserve"> рамках основного </w:t>
      </w:r>
      <w:r w:rsidR="00631C06" w:rsidRPr="003E47C3">
        <w:rPr>
          <w:sz w:val="28"/>
          <w:szCs w:val="28"/>
        </w:rPr>
        <w:t>мероприяти</w:t>
      </w:r>
      <w:r w:rsidR="003F484B" w:rsidRPr="003E47C3">
        <w:rPr>
          <w:sz w:val="28"/>
          <w:szCs w:val="28"/>
        </w:rPr>
        <w:t>я</w:t>
      </w:r>
      <w:r w:rsidR="00310DAC" w:rsidRPr="003E47C3">
        <w:rPr>
          <w:sz w:val="28"/>
          <w:szCs w:val="28"/>
        </w:rPr>
        <w:t xml:space="preserve"> </w:t>
      </w:r>
      <w:r w:rsidR="003F484B" w:rsidRPr="003E47C3">
        <w:rPr>
          <w:sz w:val="28"/>
          <w:szCs w:val="28"/>
        </w:rPr>
        <w:t>2</w:t>
      </w:r>
      <w:r w:rsidR="00310DAC" w:rsidRPr="003E47C3">
        <w:rPr>
          <w:sz w:val="28"/>
          <w:szCs w:val="28"/>
        </w:rPr>
        <w:t xml:space="preserve"> «</w:t>
      </w:r>
      <w:r w:rsidR="003F484B" w:rsidRPr="003E47C3">
        <w:rPr>
          <w:sz w:val="28"/>
          <w:szCs w:val="28"/>
        </w:rPr>
        <w:t>Развитие музейного дела</w:t>
      </w:r>
      <w:r w:rsidR="00310DAC" w:rsidRPr="003E47C3">
        <w:rPr>
          <w:sz w:val="28"/>
          <w:szCs w:val="28"/>
        </w:rPr>
        <w:t>»</w:t>
      </w:r>
      <w:r w:rsidR="005F3694" w:rsidRPr="003E47C3">
        <w:rPr>
          <w:sz w:val="28"/>
          <w:szCs w:val="28"/>
        </w:rPr>
        <w:t xml:space="preserve"> по ответственному исполнителю программы – </w:t>
      </w:r>
      <w:r w:rsidR="003E47C3" w:rsidRPr="003E47C3">
        <w:rPr>
          <w:sz w:val="28"/>
          <w:szCs w:val="28"/>
        </w:rPr>
        <w:t xml:space="preserve">комитету культуры и туризма </w:t>
      </w:r>
      <w:r w:rsidR="005F3694" w:rsidRPr="003E47C3">
        <w:rPr>
          <w:sz w:val="28"/>
          <w:szCs w:val="28"/>
        </w:rPr>
        <w:t>администрации города Нефтеюганска</w:t>
      </w:r>
      <w:r w:rsidR="000844FC" w:rsidRPr="003E47C3">
        <w:rPr>
          <w:sz w:val="28"/>
          <w:szCs w:val="28"/>
        </w:rPr>
        <w:t xml:space="preserve"> (подведомственное учреждение – </w:t>
      </w:r>
      <w:r w:rsidR="007D01AC">
        <w:rPr>
          <w:sz w:val="28"/>
          <w:szCs w:val="28"/>
        </w:rPr>
        <w:br/>
      </w:r>
      <w:r w:rsidR="00EC09D3" w:rsidRPr="003E47C3">
        <w:rPr>
          <w:sz w:val="28"/>
          <w:szCs w:val="28"/>
        </w:rPr>
        <w:t>НГ МАУК</w:t>
      </w:r>
      <w:r w:rsidR="000844FC" w:rsidRPr="003E47C3">
        <w:rPr>
          <w:sz w:val="28"/>
          <w:szCs w:val="28"/>
        </w:rPr>
        <w:t xml:space="preserve"> «</w:t>
      </w:r>
      <w:r w:rsidR="00EC09D3" w:rsidRPr="003E47C3">
        <w:rPr>
          <w:sz w:val="28"/>
          <w:szCs w:val="28"/>
        </w:rPr>
        <w:t>Музейный комплекс</w:t>
      </w:r>
      <w:r w:rsidR="000844FC" w:rsidRPr="003E47C3">
        <w:rPr>
          <w:sz w:val="28"/>
          <w:szCs w:val="28"/>
        </w:rPr>
        <w:t>»</w:t>
      </w:r>
      <w:r w:rsidR="009F7EC7" w:rsidRPr="003E47C3">
        <w:rPr>
          <w:sz w:val="28"/>
          <w:szCs w:val="28"/>
        </w:rPr>
        <w:t>)</w:t>
      </w:r>
      <w:r w:rsidR="00EC09D3" w:rsidRPr="00850311">
        <w:rPr>
          <w:i/>
          <w:sz w:val="28"/>
          <w:szCs w:val="28"/>
        </w:rPr>
        <w:t xml:space="preserve"> </w:t>
      </w:r>
      <w:r w:rsidR="00EC09D3" w:rsidRPr="003E47C3">
        <w:rPr>
          <w:sz w:val="28"/>
          <w:szCs w:val="28"/>
        </w:rPr>
        <w:t>в 201</w:t>
      </w:r>
      <w:r w:rsidR="003E47C3" w:rsidRPr="003E47C3">
        <w:rPr>
          <w:sz w:val="28"/>
          <w:szCs w:val="28"/>
        </w:rPr>
        <w:t>8</w:t>
      </w:r>
      <w:r w:rsidR="00EC09D3" w:rsidRPr="003E47C3">
        <w:rPr>
          <w:sz w:val="28"/>
          <w:szCs w:val="28"/>
        </w:rPr>
        <w:t xml:space="preserve"> – 20</w:t>
      </w:r>
      <w:r w:rsidR="003E47C3" w:rsidRPr="003E47C3">
        <w:rPr>
          <w:sz w:val="28"/>
          <w:szCs w:val="28"/>
        </w:rPr>
        <w:t>20</w:t>
      </w:r>
      <w:r w:rsidR="00EC09D3" w:rsidRPr="003E47C3">
        <w:rPr>
          <w:sz w:val="28"/>
          <w:szCs w:val="28"/>
        </w:rPr>
        <w:t xml:space="preserve"> годы на общую сумму </w:t>
      </w:r>
      <w:r w:rsidR="003E47C3" w:rsidRPr="003E47C3">
        <w:rPr>
          <w:sz w:val="28"/>
          <w:szCs w:val="28"/>
        </w:rPr>
        <w:t>138 614,618</w:t>
      </w:r>
      <w:r w:rsidR="00EC09D3" w:rsidRPr="003E47C3">
        <w:rPr>
          <w:sz w:val="28"/>
          <w:szCs w:val="28"/>
        </w:rPr>
        <w:t xml:space="preserve"> тыс. рублей, в том числе из бюджета автономного округа – </w:t>
      </w:r>
      <w:r w:rsidR="003E47C3" w:rsidRPr="003E47C3">
        <w:rPr>
          <w:sz w:val="28"/>
          <w:szCs w:val="28"/>
        </w:rPr>
        <w:t>15 509,800</w:t>
      </w:r>
      <w:r w:rsidR="00EC09D3" w:rsidRPr="003E47C3">
        <w:rPr>
          <w:sz w:val="28"/>
          <w:szCs w:val="28"/>
        </w:rPr>
        <w:t xml:space="preserve"> тыс. рублей, муниципального образования – </w:t>
      </w:r>
      <w:r w:rsidR="0099581B">
        <w:rPr>
          <w:sz w:val="28"/>
          <w:szCs w:val="28"/>
        </w:rPr>
        <w:t>121 034,818</w:t>
      </w:r>
      <w:r w:rsidR="00EC09D3" w:rsidRPr="003E47C3">
        <w:rPr>
          <w:sz w:val="28"/>
          <w:szCs w:val="28"/>
        </w:rPr>
        <w:t xml:space="preserve"> тыс. рублей, внебюджетных источников – </w:t>
      </w:r>
      <w:r w:rsidR="003E47C3" w:rsidRPr="003E47C3">
        <w:rPr>
          <w:sz w:val="28"/>
          <w:szCs w:val="28"/>
        </w:rPr>
        <w:t>2 070,000</w:t>
      </w:r>
      <w:r w:rsidR="00EC09D3" w:rsidRPr="003E47C3">
        <w:rPr>
          <w:sz w:val="28"/>
          <w:szCs w:val="28"/>
        </w:rPr>
        <w:t xml:space="preserve"> тыс. рублей, а именно:</w:t>
      </w:r>
    </w:p>
    <w:p w:rsidR="00B606F2" w:rsidRPr="003212E7" w:rsidRDefault="00310DAC" w:rsidP="00B606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12E7">
        <w:rPr>
          <w:sz w:val="28"/>
          <w:szCs w:val="28"/>
        </w:rPr>
        <w:t>- в 201</w:t>
      </w:r>
      <w:r w:rsidR="00C22D4F" w:rsidRPr="003212E7">
        <w:rPr>
          <w:sz w:val="28"/>
          <w:szCs w:val="28"/>
        </w:rPr>
        <w:t>8</w:t>
      </w:r>
      <w:r w:rsidRPr="003212E7">
        <w:rPr>
          <w:sz w:val="28"/>
          <w:szCs w:val="28"/>
        </w:rPr>
        <w:t xml:space="preserve"> году </w:t>
      </w:r>
      <w:r w:rsidR="00EC09D3" w:rsidRPr="003212E7">
        <w:rPr>
          <w:sz w:val="28"/>
          <w:szCs w:val="28"/>
        </w:rPr>
        <w:t>–</w:t>
      </w:r>
      <w:r w:rsidRPr="003212E7">
        <w:rPr>
          <w:sz w:val="28"/>
          <w:szCs w:val="28"/>
        </w:rPr>
        <w:t xml:space="preserve"> </w:t>
      </w:r>
      <w:r w:rsidR="00C22D4F" w:rsidRPr="003212E7">
        <w:rPr>
          <w:sz w:val="28"/>
          <w:szCs w:val="28"/>
        </w:rPr>
        <w:t>46 625,206</w:t>
      </w:r>
      <w:r w:rsidRPr="003212E7">
        <w:rPr>
          <w:sz w:val="28"/>
          <w:szCs w:val="28"/>
        </w:rPr>
        <w:t xml:space="preserve"> тыс. рублей, в том числе средства автономного округа – </w:t>
      </w:r>
      <w:r w:rsidR="00C22D4F" w:rsidRPr="003212E7">
        <w:rPr>
          <w:sz w:val="28"/>
          <w:szCs w:val="28"/>
        </w:rPr>
        <w:t>14 677,300</w:t>
      </w:r>
      <w:r w:rsidRPr="003212E7">
        <w:rPr>
          <w:sz w:val="28"/>
          <w:szCs w:val="28"/>
        </w:rPr>
        <w:t xml:space="preserve"> тыс. рублей, местного бюджета – </w:t>
      </w:r>
      <w:r w:rsidR="00C22D4F" w:rsidRPr="003212E7">
        <w:rPr>
          <w:sz w:val="28"/>
          <w:szCs w:val="28"/>
        </w:rPr>
        <w:t>31 272,906</w:t>
      </w:r>
      <w:r w:rsidRPr="003212E7">
        <w:rPr>
          <w:sz w:val="28"/>
          <w:szCs w:val="28"/>
        </w:rPr>
        <w:t xml:space="preserve"> тыс. </w:t>
      </w:r>
      <w:r w:rsidR="00EC09D3" w:rsidRPr="003212E7">
        <w:rPr>
          <w:sz w:val="28"/>
          <w:szCs w:val="28"/>
        </w:rPr>
        <w:t xml:space="preserve">рублей, внебюджетных источников – </w:t>
      </w:r>
      <w:r w:rsidR="00C22D4F" w:rsidRPr="003212E7">
        <w:rPr>
          <w:sz w:val="28"/>
          <w:szCs w:val="28"/>
        </w:rPr>
        <w:t>675</w:t>
      </w:r>
      <w:r w:rsidR="00EC09D3" w:rsidRPr="003212E7">
        <w:rPr>
          <w:sz w:val="28"/>
          <w:szCs w:val="28"/>
        </w:rPr>
        <w:t>,000 тыс. рублей</w:t>
      </w:r>
      <w:r w:rsidRPr="003212E7">
        <w:rPr>
          <w:sz w:val="28"/>
          <w:szCs w:val="28"/>
        </w:rPr>
        <w:t>;</w:t>
      </w:r>
      <w:r w:rsidR="00B606F2" w:rsidRPr="003212E7">
        <w:rPr>
          <w:sz w:val="28"/>
          <w:szCs w:val="28"/>
        </w:rPr>
        <w:t xml:space="preserve"> </w:t>
      </w:r>
    </w:p>
    <w:p w:rsidR="00310DAC" w:rsidRPr="00C756E0" w:rsidRDefault="00310DAC" w:rsidP="00B606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E0">
        <w:rPr>
          <w:sz w:val="28"/>
          <w:szCs w:val="28"/>
        </w:rPr>
        <w:t>- в 201</w:t>
      </w:r>
      <w:r w:rsidR="000030D8" w:rsidRPr="00C756E0">
        <w:rPr>
          <w:sz w:val="28"/>
          <w:szCs w:val="28"/>
        </w:rPr>
        <w:t>9</w:t>
      </w:r>
      <w:r w:rsidRPr="00C756E0">
        <w:rPr>
          <w:sz w:val="28"/>
          <w:szCs w:val="28"/>
        </w:rPr>
        <w:t xml:space="preserve"> году – </w:t>
      </w:r>
      <w:r w:rsidR="000030D8" w:rsidRPr="00C756E0">
        <w:rPr>
          <w:sz w:val="28"/>
          <w:szCs w:val="28"/>
        </w:rPr>
        <w:t>46 185,206</w:t>
      </w:r>
      <w:r w:rsidRPr="00C756E0">
        <w:rPr>
          <w:sz w:val="28"/>
          <w:szCs w:val="28"/>
        </w:rPr>
        <w:t xml:space="preserve"> тыс. рублей, в том числе средства автономного округа – </w:t>
      </w:r>
      <w:r w:rsidR="000030D8" w:rsidRPr="00C756E0">
        <w:rPr>
          <w:sz w:val="28"/>
          <w:szCs w:val="28"/>
        </w:rPr>
        <w:t>580,</w:t>
      </w:r>
      <w:r w:rsidR="00523F84">
        <w:rPr>
          <w:sz w:val="28"/>
          <w:szCs w:val="28"/>
        </w:rPr>
        <w:t>3</w:t>
      </w:r>
      <w:r w:rsidR="000030D8" w:rsidRPr="00C756E0">
        <w:rPr>
          <w:sz w:val="28"/>
          <w:szCs w:val="28"/>
        </w:rPr>
        <w:t>00</w:t>
      </w:r>
      <w:r w:rsidRPr="00C756E0">
        <w:rPr>
          <w:sz w:val="28"/>
          <w:szCs w:val="28"/>
        </w:rPr>
        <w:t xml:space="preserve"> тыс. рублей, местного бюджета – </w:t>
      </w:r>
      <w:r w:rsidR="000030D8" w:rsidRPr="00C756E0">
        <w:rPr>
          <w:sz w:val="28"/>
          <w:szCs w:val="28"/>
        </w:rPr>
        <w:t>44 909,906</w:t>
      </w:r>
      <w:r w:rsidRPr="00C756E0">
        <w:rPr>
          <w:sz w:val="28"/>
          <w:szCs w:val="28"/>
        </w:rPr>
        <w:t xml:space="preserve"> тыс. рублей</w:t>
      </w:r>
      <w:r w:rsidR="00B606F2" w:rsidRPr="00C756E0">
        <w:rPr>
          <w:sz w:val="28"/>
          <w:szCs w:val="28"/>
        </w:rPr>
        <w:t xml:space="preserve"> внебюджетных источников – </w:t>
      </w:r>
      <w:r w:rsidR="000030D8" w:rsidRPr="00C756E0">
        <w:rPr>
          <w:sz w:val="28"/>
          <w:szCs w:val="28"/>
        </w:rPr>
        <w:t>695</w:t>
      </w:r>
      <w:r w:rsidR="00B606F2" w:rsidRPr="00C756E0">
        <w:rPr>
          <w:sz w:val="28"/>
          <w:szCs w:val="28"/>
        </w:rPr>
        <w:t>,000 тыс. рублей;</w:t>
      </w:r>
    </w:p>
    <w:p w:rsidR="00310DA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E0">
        <w:rPr>
          <w:sz w:val="28"/>
          <w:szCs w:val="28"/>
        </w:rPr>
        <w:t>- в 20</w:t>
      </w:r>
      <w:r w:rsidR="000030D8" w:rsidRPr="00C756E0">
        <w:rPr>
          <w:sz w:val="28"/>
          <w:szCs w:val="28"/>
        </w:rPr>
        <w:t>20</w:t>
      </w:r>
      <w:r w:rsidRPr="00C756E0">
        <w:rPr>
          <w:sz w:val="28"/>
          <w:szCs w:val="28"/>
        </w:rPr>
        <w:t xml:space="preserve"> году – </w:t>
      </w:r>
      <w:r w:rsidR="000030D8" w:rsidRPr="00C756E0">
        <w:rPr>
          <w:sz w:val="28"/>
          <w:szCs w:val="28"/>
        </w:rPr>
        <w:t>45 804,206</w:t>
      </w:r>
      <w:r w:rsidRPr="00C756E0">
        <w:rPr>
          <w:sz w:val="28"/>
          <w:szCs w:val="28"/>
        </w:rPr>
        <w:t xml:space="preserve"> тыс. рублей, в том числе средства автономного округа – </w:t>
      </w:r>
      <w:r w:rsidR="000030D8" w:rsidRPr="00C756E0">
        <w:rPr>
          <w:sz w:val="28"/>
          <w:szCs w:val="28"/>
        </w:rPr>
        <w:t>252,200</w:t>
      </w:r>
      <w:r w:rsidRPr="00C756E0">
        <w:rPr>
          <w:sz w:val="28"/>
          <w:szCs w:val="28"/>
        </w:rPr>
        <w:t xml:space="preserve"> тыс. рублей, местного бюджета – </w:t>
      </w:r>
      <w:r w:rsidR="000030D8" w:rsidRPr="00C756E0">
        <w:rPr>
          <w:sz w:val="28"/>
          <w:szCs w:val="28"/>
        </w:rPr>
        <w:t>44 852,006</w:t>
      </w:r>
      <w:r w:rsidRPr="00C756E0">
        <w:rPr>
          <w:sz w:val="28"/>
          <w:szCs w:val="28"/>
        </w:rPr>
        <w:t xml:space="preserve"> тыс. </w:t>
      </w:r>
      <w:r w:rsidR="00B606F2" w:rsidRPr="00C756E0">
        <w:rPr>
          <w:sz w:val="28"/>
          <w:szCs w:val="28"/>
        </w:rPr>
        <w:t xml:space="preserve">рублей, внебюджетных источников – </w:t>
      </w:r>
      <w:r w:rsidR="000030D8" w:rsidRPr="00C756E0">
        <w:rPr>
          <w:sz w:val="28"/>
          <w:szCs w:val="28"/>
        </w:rPr>
        <w:t>700</w:t>
      </w:r>
      <w:r w:rsidR="00B606F2" w:rsidRPr="00C756E0">
        <w:rPr>
          <w:sz w:val="28"/>
          <w:szCs w:val="28"/>
        </w:rPr>
        <w:t>,000 тыс. рублей.</w:t>
      </w:r>
    </w:p>
    <w:p w:rsidR="007D01AC" w:rsidRDefault="007D01AC" w:rsidP="007D01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письму департамента финансов Ханты-Мансийского автономного округа – Югры, доведены проектируемые объёмы бюджетных трансфертов на 2018 год и плановый период 2019 и 2020 годов, МАУК </w:t>
      </w:r>
      <w:r>
        <w:rPr>
          <w:sz w:val="28"/>
          <w:szCs w:val="28"/>
        </w:rPr>
        <w:lastRenderedPageBreak/>
        <w:t>«Музейный комплекс» планируется выделение финансовых средств на реализацию мероприятия «Модернизаци</w:t>
      </w:r>
      <w:r w:rsidR="00A203EF">
        <w:rPr>
          <w:sz w:val="28"/>
          <w:szCs w:val="28"/>
        </w:rPr>
        <w:t xml:space="preserve">я муниципальных музеев» в 2018 году </w:t>
      </w:r>
      <w:r w:rsidR="00A203EF">
        <w:rPr>
          <w:sz w:val="28"/>
          <w:szCs w:val="28"/>
        </w:rPr>
        <w:br/>
      </w:r>
      <w:r>
        <w:rPr>
          <w:sz w:val="28"/>
          <w:szCs w:val="28"/>
        </w:rPr>
        <w:t xml:space="preserve">в сумме </w:t>
      </w:r>
      <w:r w:rsidR="00A203EF">
        <w:rPr>
          <w:sz w:val="28"/>
          <w:szCs w:val="28"/>
        </w:rPr>
        <w:t>971,300</w:t>
      </w:r>
      <w:r>
        <w:rPr>
          <w:sz w:val="28"/>
          <w:szCs w:val="28"/>
        </w:rPr>
        <w:t xml:space="preserve"> тыс. рублей, проект на 201</w:t>
      </w:r>
      <w:r w:rsidR="00A203EF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203EF">
        <w:rPr>
          <w:sz w:val="28"/>
          <w:szCs w:val="28"/>
        </w:rPr>
        <w:t>580,300</w:t>
      </w:r>
      <w:r>
        <w:rPr>
          <w:sz w:val="28"/>
          <w:szCs w:val="28"/>
        </w:rPr>
        <w:t xml:space="preserve"> тыс. рублей</w:t>
      </w:r>
      <w:r w:rsidR="00A203EF">
        <w:rPr>
          <w:sz w:val="28"/>
          <w:szCs w:val="28"/>
        </w:rPr>
        <w:t>, проект на 2020 год – 252,200 тыс. рублей.</w:t>
      </w:r>
    </w:p>
    <w:p w:rsidR="004E40E6" w:rsidRPr="00573603" w:rsidRDefault="00E50D78" w:rsidP="004E40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40E6" w:rsidRPr="00573603">
        <w:rPr>
          <w:sz w:val="28"/>
          <w:szCs w:val="28"/>
        </w:rPr>
        <w:t xml:space="preserve"> </w:t>
      </w:r>
      <w:r w:rsidRPr="00573603">
        <w:rPr>
          <w:sz w:val="28"/>
          <w:szCs w:val="28"/>
        </w:rPr>
        <w:t>в</w:t>
      </w:r>
      <w:r w:rsidR="004E40E6" w:rsidRPr="00573603">
        <w:rPr>
          <w:sz w:val="28"/>
          <w:szCs w:val="28"/>
        </w:rPr>
        <w:t xml:space="preserve"> рамках основного мероприятия 3 «Развитие профессионального </w:t>
      </w:r>
      <w:r w:rsidR="00795CBE" w:rsidRPr="00573603">
        <w:rPr>
          <w:sz w:val="28"/>
          <w:szCs w:val="28"/>
        </w:rPr>
        <w:t>искусства</w:t>
      </w:r>
      <w:r w:rsidR="004E40E6" w:rsidRPr="00573603">
        <w:rPr>
          <w:sz w:val="28"/>
          <w:szCs w:val="28"/>
        </w:rPr>
        <w:t>» по ответственному исполнителю программы – комитету культуры</w:t>
      </w:r>
      <w:r w:rsidR="004E7B9B" w:rsidRPr="00573603">
        <w:rPr>
          <w:sz w:val="28"/>
          <w:szCs w:val="28"/>
        </w:rPr>
        <w:t xml:space="preserve"> и туризм</w:t>
      </w:r>
      <w:r w:rsidR="00A36CFB">
        <w:rPr>
          <w:sz w:val="28"/>
          <w:szCs w:val="28"/>
        </w:rPr>
        <w:t>а</w:t>
      </w:r>
      <w:r w:rsidR="004E40E6" w:rsidRPr="00573603">
        <w:rPr>
          <w:sz w:val="28"/>
          <w:szCs w:val="28"/>
        </w:rPr>
        <w:t xml:space="preserve"> администрации города Нефтеюганска (подведомственное учреждение – МБУК Театр кукол «Волшебная флейта»</w:t>
      </w:r>
      <w:r w:rsidR="00B45FA3" w:rsidRPr="00573603">
        <w:rPr>
          <w:sz w:val="28"/>
          <w:szCs w:val="28"/>
        </w:rPr>
        <w:t>)</w:t>
      </w:r>
      <w:r w:rsidR="004E40E6" w:rsidRPr="00573603">
        <w:rPr>
          <w:sz w:val="28"/>
          <w:szCs w:val="28"/>
        </w:rPr>
        <w:t xml:space="preserve"> в 201</w:t>
      </w:r>
      <w:r w:rsidR="004E7B9B" w:rsidRPr="00573603">
        <w:rPr>
          <w:sz w:val="28"/>
          <w:szCs w:val="28"/>
        </w:rPr>
        <w:t>8</w:t>
      </w:r>
      <w:r w:rsidR="004E40E6" w:rsidRPr="00573603">
        <w:rPr>
          <w:sz w:val="28"/>
          <w:szCs w:val="28"/>
        </w:rPr>
        <w:t xml:space="preserve"> – 20</w:t>
      </w:r>
      <w:r w:rsidR="004E7B9B" w:rsidRPr="00573603">
        <w:rPr>
          <w:sz w:val="28"/>
          <w:szCs w:val="28"/>
        </w:rPr>
        <w:t>20</w:t>
      </w:r>
      <w:r w:rsidR="004E40E6" w:rsidRPr="00573603">
        <w:rPr>
          <w:sz w:val="28"/>
          <w:szCs w:val="28"/>
        </w:rPr>
        <w:t xml:space="preserve"> годы на общую сумму </w:t>
      </w:r>
      <w:r w:rsidR="004E7B9B" w:rsidRPr="00573603">
        <w:rPr>
          <w:sz w:val="28"/>
          <w:szCs w:val="28"/>
        </w:rPr>
        <w:t>146 255,900</w:t>
      </w:r>
      <w:r w:rsidR="004E40E6" w:rsidRPr="00573603">
        <w:rPr>
          <w:sz w:val="28"/>
          <w:szCs w:val="28"/>
        </w:rPr>
        <w:t xml:space="preserve"> тыс. рублей, в том числе из: бюджета автономного округа – </w:t>
      </w:r>
      <w:r w:rsidR="004E7B9B" w:rsidRPr="00573603">
        <w:rPr>
          <w:sz w:val="28"/>
          <w:szCs w:val="28"/>
        </w:rPr>
        <w:t>15 558,100</w:t>
      </w:r>
      <w:r w:rsidR="004E40E6" w:rsidRPr="00573603">
        <w:rPr>
          <w:sz w:val="28"/>
          <w:szCs w:val="28"/>
        </w:rPr>
        <w:t xml:space="preserve"> тыс. рублей, муниципального образования – </w:t>
      </w:r>
      <w:r w:rsidR="004E7B9B" w:rsidRPr="00573603">
        <w:rPr>
          <w:sz w:val="28"/>
          <w:szCs w:val="28"/>
        </w:rPr>
        <w:t>122 127,800</w:t>
      </w:r>
      <w:r w:rsidR="004E40E6" w:rsidRPr="00573603">
        <w:rPr>
          <w:sz w:val="28"/>
          <w:szCs w:val="28"/>
        </w:rPr>
        <w:t xml:space="preserve"> тыс. рублей, внебюджетных источников – </w:t>
      </w:r>
      <w:r w:rsidR="007B4F48" w:rsidRPr="00573603">
        <w:rPr>
          <w:sz w:val="28"/>
          <w:szCs w:val="28"/>
        </w:rPr>
        <w:t>8 570,000</w:t>
      </w:r>
      <w:r w:rsidR="004E40E6" w:rsidRPr="00573603">
        <w:rPr>
          <w:sz w:val="28"/>
          <w:szCs w:val="28"/>
        </w:rPr>
        <w:t xml:space="preserve"> тыс. рублей, а именно:</w:t>
      </w:r>
    </w:p>
    <w:p w:rsidR="004E40E6" w:rsidRPr="00FC4B96" w:rsidRDefault="004E40E6" w:rsidP="004E40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C4B96">
        <w:rPr>
          <w:sz w:val="28"/>
          <w:szCs w:val="28"/>
        </w:rPr>
        <w:t>- в 201</w:t>
      </w:r>
      <w:r w:rsidR="00573603" w:rsidRPr="00FC4B96">
        <w:rPr>
          <w:sz w:val="28"/>
          <w:szCs w:val="28"/>
        </w:rPr>
        <w:t>8</w:t>
      </w:r>
      <w:r w:rsidRPr="00FC4B96">
        <w:rPr>
          <w:sz w:val="28"/>
          <w:szCs w:val="28"/>
        </w:rPr>
        <w:t xml:space="preserve"> году – </w:t>
      </w:r>
      <w:r w:rsidR="00921A05" w:rsidRPr="00FC4B96">
        <w:rPr>
          <w:sz w:val="28"/>
          <w:szCs w:val="28"/>
        </w:rPr>
        <w:t>48 622,300</w:t>
      </w:r>
      <w:r w:rsidRPr="00FC4B96">
        <w:rPr>
          <w:sz w:val="28"/>
          <w:szCs w:val="28"/>
        </w:rPr>
        <w:t xml:space="preserve"> тыс. рублей, в том числе средства автономного округа – </w:t>
      </w:r>
      <w:r w:rsidR="00921A05" w:rsidRPr="00FC4B96">
        <w:rPr>
          <w:sz w:val="28"/>
          <w:szCs w:val="28"/>
        </w:rPr>
        <w:t>15 558,100</w:t>
      </w:r>
      <w:r w:rsidRPr="00FC4B96">
        <w:rPr>
          <w:sz w:val="28"/>
          <w:szCs w:val="28"/>
        </w:rPr>
        <w:t xml:space="preserve"> тыс. рублей, местного бюджета – </w:t>
      </w:r>
      <w:r w:rsidR="00921A05" w:rsidRPr="00FC4B96">
        <w:rPr>
          <w:sz w:val="28"/>
          <w:szCs w:val="28"/>
        </w:rPr>
        <w:t>30 337,200</w:t>
      </w:r>
      <w:r w:rsidRPr="00FC4B96">
        <w:rPr>
          <w:sz w:val="28"/>
          <w:szCs w:val="28"/>
        </w:rPr>
        <w:t xml:space="preserve"> тыс. рублей, внебюджетных источников – </w:t>
      </w:r>
      <w:r w:rsidR="00921A05" w:rsidRPr="00FC4B96">
        <w:rPr>
          <w:sz w:val="28"/>
          <w:szCs w:val="28"/>
        </w:rPr>
        <w:t>2 727,000</w:t>
      </w:r>
      <w:r w:rsidRPr="00FC4B96">
        <w:rPr>
          <w:sz w:val="28"/>
          <w:szCs w:val="28"/>
        </w:rPr>
        <w:t xml:space="preserve"> тыс. рублей; </w:t>
      </w:r>
    </w:p>
    <w:p w:rsidR="004E40E6" w:rsidRPr="00FC4B96" w:rsidRDefault="004E40E6" w:rsidP="004E40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C4B96">
        <w:rPr>
          <w:sz w:val="28"/>
          <w:szCs w:val="28"/>
        </w:rPr>
        <w:t>- в 201</w:t>
      </w:r>
      <w:r w:rsidR="00FC4B96" w:rsidRPr="00FC4B96">
        <w:rPr>
          <w:sz w:val="28"/>
          <w:szCs w:val="28"/>
        </w:rPr>
        <w:t>9</w:t>
      </w:r>
      <w:r w:rsidRPr="00FC4B96">
        <w:rPr>
          <w:sz w:val="28"/>
          <w:szCs w:val="28"/>
        </w:rPr>
        <w:t xml:space="preserve"> году – </w:t>
      </w:r>
      <w:r w:rsidR="00FC4B96" w:rsidRPr="00FC4B96">
        <w:rPr>
          <w:sz w:val="28"/>
          <w:szCs w:val="28"/>
        </w:rPr>
        <w:t>48 745,300</w:t>
      </w:r>
      <w:r w:rsidRPr="00FC4B96">
        <w:rPr>
          <w:sz w:val="28"/>
          <w:szCs w:val="28"/>
        </w:rPr>
        <w:t xml:space="preserve"> тыс. рублей, в том числе средства местного бюджета – </w:t>
      </w:r>
      <w:r w:rsidR="00FC4B96" w:rsidRPr="00FC4B96">
        <w:rPr>
          <w:sz w:val="28"/>
          <w:szCs w:val="28"/>
        </w:rPr>
        <w:t>45 895,300</w:t>
      </w:r>
      <w:r w:rsidRPr="00FC4B96">
        <w:rPr>
          <w:sz w:val="28"/>
          <w:szCs w:val="28"/>
        </w:rPr>
        <w:t xml:space="preserve"> тыс. рублей</w:t>
      </w:r>
      <w:r w:rsidR="00FC4B96" w:rsidRPr="00FC4B96">
        <w:rPr>
          <w:sz w:val="28"/>
          <w:szCs w:val="28"/>
        </w:rPr>
        <w:t>,</w:t>
      </w:r>
      <w:r w:rsidRPr="00FC4B96">
        <w:rPr>
          <w:sz w:val="28"/>
          <w:szCs w:val="28"/>
        </w:rPr>
        <w:t xml:space="preserve"> внебюджетных источников – </w:t>
      </w:r>
      <w:r w:rsidR="00FC4B96" w:rsidRPr="00FC4B96">
        <w:rPr>
          <w:sz w:val="28"/>
          <w:szCs w:val="28"/>
        </w:rPr>
        <w:t>2 850</w:t>
      </w:r>
      <w:r w:rsidR="00D24BD3" w:rsidRPr="00FC4B96">
        <w:rPr>
          <w:sz w:val="28"/>
          <w:szCs w:val="28"/>
        </w:rPr>
        <w:t>,000</w:t>
      </w:r>
      <w:r w:rsidRPr="00FC4B96">
        <w:rPr>
          <w:sz w:val="28"/>
          <w:szCs w:val="28"/>
        </w:rPr>
        <w:t xml:space="preserve"> тыс. рублей;</w:t>
      </w:r>
    </w:p>
    <w:p w:rsidR="004E40E6" w:rsidRPr="00776DA6" w:rsidRDefault="004E40E6" w:rsidP="004E40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6DA6">
        <w:rPr>
          <w:sz w:val="28"/>
          <w:szCs w:val="28"/>
        </w:rPr>
        <w:t>- в 20</w:t>
      </w:r>
      <w:r w:rsidR="00776DA6" w:rsidRPr="00776DA6">
        <w:rPr>
          <w:sz w:val="28"/>
          <w:szCs w:val="28"/>
        </w:rPr>
        <w:t>20</w:t>
      </w:r>
      <w:r w:rsidRPr="00776DA6">
        <w:rPr>
          <w:sz w:val="28"/>
          <w:szCs w:val="28"/>
        </w:rPr>
        <w:t xml:space="preserve"> году – </w:t>
      </w:r>
      <w:r w:rsidR="00776DA6" w:rsidRPr="00776DA6">
        <w:rPr>
          <w:sz w:val="28"/>
          <w:szCs w:val="28"/>
        </w:rPr>
        <w:t>48 888,300</w:t>
      </w:r>
      <w:r w:rsidRPr="00776DA6">
        <w:rPr>
          <w:sz w:val="28"/>
          <w:szCs w:val="28"/>
        </w:rPr>
        <w:t xml:space="preserve"> тыс. рублей, в том числе средства местного бюджета – </w:t>
      </w:r>
      <w:r w:rsidR="00776DA6" w:rsidRPr="00776DA6">
        <w:rPr>
          <w:sz w:val="28"/>
          <w:szCs w:val="28"/>
        </w:rPr>
        <w:t>45 895,300</w:t>
      </w:r>
      <w:r w:rsidRPr="00776DA6">
        <w:rPr>
          <w:sz w:val="28"/>
          <w:szCs w:val="28"/>
        </w:rPr>
        <w:t xml:space="preserve"> тыс. рублей, внебюджетных источников – </w:t>
      </w:r>
      <w:r w:rsidR="008E6473" w:rsidRPr="00776DA6">
        <w:rPr>
          <w:sz w:val="28"/>
          <w:szCs w:val="28"/>
        </w:rPr>
        <w:t>2 </w:t>
      </w:r>
      <w:r w:rsidR="00776DA6" w:rsidRPr="00776DA6">
        <w:rPr>
          <w:sz w:val="28"/>
          <w:szCs w:val="28"/>
        </w:rPr>
        <w:t>993</w:t>
      </w:r>
      <w:r w:rsidR="008E6473" w:rsidRPr="00776DA6">
        <w:rPr>
          <w:sz w:val="28"/>
          <w:szCs w:val="28"/>
        </w:rPr>
        <w:t xml:space="preserve">,000 </w:t>
      </w:r>
      <w:r w:rsidRPr="00776DA6">
        <w:rPr>
          <w:sz w:val="28"/>
          <w:szCs w:val="28"/>
        </w:rPr>
        <w:t>тыс. рублей.</w:t>
      </w:r>
    </w:p>
    <w:p w:rsidR="00795CBE" w:rsidRPr="00AE5A44" w:rsidRDefault="00E50D78" w:rsidP="00795C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95CBE" w:rsidRPr="00AE5A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5CBE" w:rsidRPr="00AE5A44">
        <w:rPr>
          <w:sz w:val="28"/>
          <w:szCs w:val="28"/>
        </w:rPr>
        <w:t xml:space="preserve"> рамках основного мероприятия 4 «Развитие художественно</w:t>
      </w:r>
      <w:r w:rsidR="00AE5A44">
        <w:rPr>
          <w:sz w:val="28"/>
          <w:szCs w:val="28"/>
        </w:rPr>
        <w:t xml:space="preserve"> </w:t>
      </w:r>
      <w:r w:rsidR="00795CBE" w:rsidRPr="00AE5A44">
        <w:rPr>
          <w:sz w:val="28"/>
          <w:szCs w:val="28"/>
        </w:rPr>
        <w:t>-творческой деятельности и народных художественных промыслов и ремесел» по ответственному исполнителю программы – комитету культуры</w:t>
      </w:r>
      <w:r w:rsidR="00A36CFB" w:rsidRPr="00AE5A44">
        <w:rPr>
          <w:sz w:val="28"/>
          <w:szCs w:val="28"/>
        </w:rPr>
        <w:t xml:space="preserve"> и туризма</w:t>
      </w:r>
      <w:r w:rsidR="00795CBE" w:rsidRPr="00AE5A44">
        <w:rPr>
          <w:sz w:val="28"/>
          <w:szCs w:val="28"/>
        </w:rPr>
        <w:t xml:space="preserve"> администрации города Нефтеюганска (подведомственн</w:t>
      </w:r>
      <w:r w:rsidR="00B45FA3" w:rsidRPr="00AE5A44">
        <w:rPr>
          <w:sz w:val="28"/>
          <w:szCs w:val="28"/>
        </w:rPr>
        <w:t>ы</w:t>
      </w:r>
      <w:r w:rsidR="00795CBE" w:rsidRPr="00AE5A44">
        <w:rPr>
          <w:sz w:val="28"/>
          <w:szCs w:val="28"/>
        </w:rPr>
        <w:t>е учреждени</w:t>
      </w:r>
      <w:r w:rsidR="00B45FA3" w:rsidRPr="00AE5A44">
        <w:rPr>
          <w:sz w:val="28"/>
          <w:szCs w:val="28"/>
        </w:rPr>
        <w:t>я</w:t>
      </w:r>
      <w:r w:rsidR="00795CBE" w:rsidRPr="00AE5A44">
        <w:rPr>
          <w:sz w:val="28"/>
          <w:szCs w:val="28"/>
        </w:rPr>
        <w:t xml:space="preserve"> – МБУК «</w:t>
      </w:r>
      <w:r w:rsidR="00B45FA3" w:rsidRPr="00AE5A44">
        <w:rPr>
          <w:sz w:val="28"/>
          <w:szCs w:val="28"/>
        </w:rPr>
        <w:t>Центр национальных культур</w:t>
      </w:r>
      <w:r w:rsidR="00795CBE" w:rsidRPr="00AE5A44">
        <w:rPr>
          <w:sz w:val="28"/>
          <w:szCs w:val="28"/>
        </w:rPr>
        <w:t>»</w:t>
      </w:r>
      <w:r w:rsidR="00B45FA3" w:rsidRPr="00AE5A44">
        <w:rPr>
          <w:sz w:val="28"/>
          <w:szCs w:val="28"/>
        </w:rPr>
        <w:t>, МБУК «Культурно досуговый комплекс»)</w:t>
      </w:r>
      <w:r w:rsidR="00AE5A44">
        <w:rPr>
          <w:sz w:val="28"/>
          <w:szCs w:val="28"/>
        </w:rPr>
        <w:t xml:space="preserve"> </w:t>
      </w:r>
      <w:r w:rsidR="00AE5A44">
        <w:rPr>
          <w:sz w:val="28"/>
          <w:szCs w:val="28"/>
        </w:rPr>
        <w:br/>
      </w:r>
      <w:r w:rsidR="00795CBE" w:rsidRPr="00AE5A44">
        <w:rPr>
          <w:sz w:val="28"/>
          <w:szCs w:val="28"/>
        </w:rPr>
        <w:t>в 201</w:t>
      </w:r>
      <w:r w:rsidR="00A36CFB" w:rsidRPr="00AE5A44">
        <w:rPr>
          <w:sz w:val="28"/>
          <w:szCs w:val="28"/>
        </w:rPr>
        <w:t>8</w:t>
      </w:r>
      <w:r w:rsidR="00795CBE" w:rsidRPr="00AE5A44">
        <w:rPr>
          <w:sz w:val="28"/>
          <w:szCs w:val="28"/>
        </w:rPr>
        <w:t xml:space="preserve"> – 20</w:t>
      </w:r>
      <w:r w:rsidR="00A36CFB" w:rsidRPr="00AE5A44">
        <w:rPr>
          <w:sz w:val="28"/>
          <w:szCs w:val="28"/>
        </w:rPr>
        <w:t>20</w:t>
      </w:r>
      <w:r w:rsidR="00795CBE" w:rsidRPr="00AE5A44">
        <w:rPr>
          <w:sz w:val="28"/>
          <w:szCs w:val="28"/>
        </w:rPr>
        <w:t xml:space="preserve"> годы на общую сумму </w:t>
      </w:r>
      <w:r w:rsidR="00A36CFB" w:rsidRPr="00AE5A44">
        <w:rPr>
          <w:sz w:val="28"/>
          <w:szCs w:val="28"/>
        </w:rPr>
        <w:t>561 251,500</w:t>
      </w:r>
      <w:r w:rsidR="00795CBE" w:rsidRPr="00AE5A44">
        <w:rPr>
          <w:sz w:val="28"/>
          <w:szCs w:val="28"/>
        </w:rPr>
        <w:t xml:space="preserve"> тыс. рублей, в том числе из: бюджета автономного округа – </w:t>
      </w:r>
      <w:r w:rsidR="00A36CFB" w:rsidRPr="00AE5A44">
        <w:rPr>
          <w:sz w:val="28"/>
          <w:szCs w:val="28"/>
        </w:rPr>
        <w:t>51 860,500</w:t>
      </w:r>
      <w:r w:rsidR="00795CBE" w:rsidRPr="00AE5A44">
        <w:rPr>
          <w:sz w:val="28"/>
          <w:szCs w:val="28"/>
        </w:rPr>
        <w:t xml:space="preserve"> тыс. рублей, муниципального образования – </w:t>
      </w:r>
      <w:r w:rsidR="00A36CFB" w:rsidRPr="00AE5A44">
        <w:rPr>
          <w:sz w:val="28"/>
          <w:szCs w:val="28"/>
        </w:rPr>
        <w:t>478 349,800</w:t>
      </w:r>
      <w:r w:rsidR="00795CBE" w:rsidRPr="00AE5A44">
        <w:rPr>
          <w:sz w:val="28"/>
          <w:szCs w:val="28"/>
        </w:rPr>
        <w:t xml:space="preserve"> тыс. рублей, внебюджетных источников – </w:t>
      </w:r>
      <w:r w:rsidR="00B4415F" w:rsidRPr="00AE5A44">
        <w:rPr>
          <w:sz w:val="28"/>
          <w:szCs w:val="28"/>
        </w:rPr>
        <w:t>31 041,200</w:t>
      </w:r>
      <w:r w:rsidR="00795CBE" w:rsidRPr="00AE5A44">
        <w:rPr>
          <w:sz w:val="28"/>
          <w:szCs w:val="28"/>
        </w:rPr>
        <w:t xml:space="preserve"> тыс. рублей, а именно:</w:t>
      </w:r>
    </w:p>
    <w:p w:rsidR="00795CBE" w:rsidRPr="003D07A0" w:rsidRDefault="00795CBE" w:rsidP="00795C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07A0">
        <w:rPr>
          <w:sz w:val="28"/>
          <w:szCs w:val="28"/>
        </w:rPr>
        <w:t>- в 201</w:t>
      </w:r>
      <w:r w:rsidR="003227BB" w:rsidRPr="003D07A0">
        <w:rPr>
          <w:sz w:val="28"/>
          <w:szCs w:val="28"/>
        </w:rPr>
        <w:t>8</w:t>
      </w:r>
      <w:r w:rsidRPr="003D07A0">
        <w:rPr>
          <w:sz w:val="28"/>
          <w:szCs w:val="28"/>
        </w:rPr>
        <w:t xml:space="preserve"> году – </w:t>
      </w:r>
      <w:r w:rsidR="003227BB" w:rsidRPr="003D07A0">
        <w:rPr>
          <w:sz w:val="28"/>
          <w:szCs w:val="28"/>
        </w:rPr>
        <w:t>187 673,200</w:t>
      </w:r>
      <w:r w:rsidRPr="003D07A0">
        <w:rPr>
          <w:sz w:val="28"/>
          <w:szCs w:val="28"/>
        </w:rPr>
        <w:t xml:space="preserve"> тыс. рублей, в том числе средства автономного округа – </w:t>
      </w:r>
      <w:r w:rsidR="003227BB" w:rsidRPr="003D07A0">
        <w:rPr>
          <w:sz w:val="28"/>
          <w:szCs w:val="28"/>
        </w:rPr>
        <w:t>51 860,500</w:t>
      </w:r>
      <w:r w:rsidRPr="003D07A0">
        <w:rPr>
          <w:sz w:val="28"/>
          <w:szCs w:val="28"/>
        </w:rPr>
        <w:t xml:space="preserve"> тыс. рублей, местного бюджета – </w:t>
      </w:r>
      <w:r w:rsidR="003227BB" w:rsidRPr="003D07A0">
        <w:rPr>
          <w:sz w:val="28"/>
          <w:szCs w:val="28"/>
        </w:rPr>
        <w:t>125 534,800</w:t>
      </w:r>
      <w:r w:rsidRPr="003D07A0">
        <w:rPr>
          <w:sz w:val="28"/>
          <w:szCs w:val="28"/>
        </w:rPr>
        <w:t xml:space="preserve"> тыс. рублей, внебюджетных источников – </w:t>
      </w:r>
      <w:r w:rsidR="003227BB" w:rsidRPr="003D07A0">
        <w:rPr>
          <w:sz w:val="28"/>
          <w:szCs w:val="28"/>
        </w:rPr>
        <w:t>10 277,900</w:t>
      </w:r>
      <w:r w:rsidRPr="003D07A0">
        <w:rPr>
          <w:sz w:val="28"/>
          <w:szCs w:val="28"/>
        </w:rPr>
        <w:t xml:space="preserve"> тыс. рублей; </w:t>
      </w:r>
    </w:p>
    <w:p w:rsidR="00795CBE" w:rsidRPr="003D07A0" w:rsidRDefault="00795CBE" w:rsidP="00795C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07A0">
        <w:rPr>
          <w:sz w:val="28"/>
          <w:szCs w:val="28"/>
        </w:rPr>
        <w:t>- в 201</w:t>
      </w:r>
      <w:r w:rsidR="00AD4BBA" w:rsidRPr="003D07A0">
        <w:rPr>
          <w:sz w:val="28"/>
          <w:szCs w:val="28"/>
        </w:rPr>
        <w:t>9</w:t>
      </w:r>
      <w:r w:rsidRPr="003D07A0">
        <w:rPr>
          <w:sz w:val="28"/>
          <w:szCs w:val="28"/>
        </w:rPr>
        <w:t xml:space="preserve"> году – </w:t>
      </w:r>
      <w:r w:rsidR="00AD4BBA" w:rsidRPr="003D07A0">
        <w:rPr>
          <w:sz w:val="28"/>
          <w:szCs w:val="28"/>
        </w:rPr>
        <w:t>186 770,700</w:t>
      </w:r>
      <w:r w:rsidRPr="003D07A0">
        <w:rPr>
          <w:sz w:val="28"/>
          <w:szCs w:val="28"/>
        </w:rPr>
        <w:t xml:space="preserve"> тыс. рублей, в том числе средства местного бюджета – </w:t>
      </w:r>
      <w:r w:rsidR="00AD4BBA" w:rsidRPr="003D07A0">
        <w:rPr>
          <w:sz w:val="28"/>
          <w:szCs w:val="28"/>
        </w:rPr>
        <w:t>176 408,900</w:t>
      </w:r>
      <w:r w:rsidRPr="003D07A0">
        <w:rPr>
          <w:sz w:val="28"/>
          <w:szCs w:val="28"/>
        </w:rPr>
        <w:t xml:space="preserve"> тыс. рублей</w:t>
      </w:r>
      <w:r w:rsidR="00AD4BBA" w:rsidRPr="003D07A0">
        <w:rPr>
          <w:sz w:val="28"/>
          <w:szCs w:val="28"/>
        </w:rPr>
        <w:t>,</w:t>
      </w:r>
      <w:r w:rsidRPr="003D07A0">
        <w:rPr>
          <w:sz w:val="28"/>
          <w:szCs w:val="28"/>
        </w:rPr>
        <w:t xml:space="preserve"> внебюджетных источников – </w:t>
      </w:r>
      <w:r w:rsidR="00AD4BBA" w:rsidRPr="003D07A0">
        <w:rPr>
          <w:sz w:val="28"/>
          <w:szCs w:val="28"/>
        </w:rPr>
        <w:t>10 361,800</w:t>
      </w:r>
      <w:r w:rsidRPr="003D07A0">
        <w:rPr>
          <w:sz w:val="28"/>
          <w:szCs w:val="28"/>
        </w:rPr>
        <w:t xml:space="preserve"> тыс. рублей;</w:t>
      </w:r>
    </w:p>
    <w:p w:rsidR="00795CBE" w:rsidRDefault="00795CBE" w:rsidP="00795C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07A0">
        <w:rPr>
          <w:sz w:val="28"/>
          <w:szCs w:val="28"/>
        </w:rPr>
        <w:t>- в 20</w:t>
      </w:r>
      <w:r w:rsidR="002E13A2" w:rsidRPr="003D07A0">
        <w:rPr>
          <w:sz w:val="28"/>
          <w:szCs w:val="28"/>
        </w:rPr>
        <w:t>20</w:t>
      </w:r>
      <w:r w:rsidRPr="003D07A0">
        <w:rPr>
          <w:sz w:val="28"/>
          <w:szCs w:val="28"/>
        </w:rPr>
        <w:t xml:space="preserve"> году – </w:t>
      </w:r>
      <w:r w:rsidR="002E13A2" w:rsidRPr="003D07A0">
        <w:rPr>
          <w:sz w:val="28"/>
          <w:szCs w:val="28"/>
        </w:rPr>
        <w:t>186 807,600</w:t>
      </w:r>
      <w:r w:rsidRPr="003D07A0">
        <w:rPr>
          <w:sz w:val="28"/>
          <w:szCs w:val="28"/>
        </w:rPr>
        <w:t xml:space="preserve"> тыс. рублей, в том числе средства местного бюджета – </w:t>
      </w:r>
      <w:r w:rsidR="002E13A2" w:rsidRPr="003D07A0">
        <w:rPr>
          <w:sz w:val="28"/>
          <w:szCs w:val="28"/>
        </w:rPr>
        <w:t>176 406,100</w:t>
      </w:r>
      <w:r w:rsidRPr="003D07A0">
        <w:rPr>
          <w:sz w:val="28"/>
          <w:szCs w:val="28"/>
        </w:rPr>
        <w:t xml:space="preserve"> тыс. рублей, внебюджетных источников – </w:t>
      </w:r>
      <w:r w:rsidR="002E13A2" w:rsidRPr="003D07A0">
        <w:rPr>
          <w:sz w:val="28"/>
          <w:szCs w:val="28"/>
        </w:rPr>
        <w:t>10 401,500</w:t>
      </w:r>
      <w:r w:rsidRPr="003D07A0">
        <w:rPr>
          <w:sz w:val="28"/>
          <w:szCs w:val="28"/>
        </w:rPr>
        <w:t xml:space="preserve"> тыс. рублей.</w:t>
      </w:r>
    </w:p>
    <w:p w:rsidR="009E67C1" w:rsidRPr="003E47C3" w:rsidRDefault="00E50D78" w:rsidP="009E67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67C1" w:rsidRPr="003E47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67C1" w:rsidRPr="003E47C3">
        <w:rPr>
          <w:sz w:val="28"/>
          <w:szCs w:val="28"/>
        </w:rPr>
        <w:t xml:space="preserve"> рамках основного мероприятия 5 «Развитие дополнительного образования в сфере культуры» по ответственному исполнителю программы – комитету культуры </w:t>
      </w:r>
      <w:r w:rsidR="00E57A5D" w:rsidRPr="003E47C3">
        <w:rPr>
          <w:sz w:val="28"/>
          <w:szCs w:val="28"/>
        </w:rPr>
        <w:t xml:space="preserve">и туризма </w:t>
      </w:r>
      <w:r w:rsidR="009E67C1" w:rsidRPr="003E47C3">
        <w:rPr>
          <w:sz w:val="28"/>
          <w:szCs w:val="28"/>
        </w:rPr>
        <w:t>администрации города Нефтеюганска (подведомственные учреждения – МБУ ДО «Детская школа искусств», МБУ ДО «Детская музыкальная школа им. Андреева» в 201</w:t>
      </w:r>
      <w:r w:rsidR="00E57A5D" w:rsidRPr="003E47C3">
        <w:rPr>
          <w:sz w:val="28"/>
          <w:szCs w:val="28"/>
        </w:rPr>
        <w:t>8</w:t>
      </w:r>
      <w:r w:rsidR="009E67C1" w:rsidRPr="003E47C3">
        <w:rPr>
          <w:sz w:val="28"/>
          <w:szCs w:val="28"/>
        </w:rPr>
        <w:t xml:space="preserve"> – 20</w:t>
      </w:r>
      <w:r w:rsidR="00E57A5D" w:rsidRPr="003E47C3">
        <w:rPr>
          <w:sz w:val="28"/>
          <w:szCs w:val="28"/>
        </w:rPr>
        <w:t>20</w:t>
      </w:r>
      <w:r w:rsidR="009E67C1" w:rsidRPr="003E47C3">
        <w:rPr>
          <w:sz w:val="28"/>
          <w:szCs w:val="28"/>
        </w:rPr>
        <w:t xml:space="preserve"> годы на общую сумму </w:t>
      </w:r>
      <w:r w:rsidR="00B96CD7" w:rsidRPr="003E47C3">
        <w:rPr>
          <w:sz w:val="28"/>
          <w:szCs w:val="28"/>
        </w:rPr>
        <w:t>5</w:t>
      </w:r>
      <w:r w:rsidR="00E57A5D" w:rsidRPr="003E47C3">
        <w:rPr>
          <w:sz w:val="28"/>
          <w:szCs w:val="28"/>
        </w:rPr>
        <w:t>83</w:t>
      </w:r>
      <w:r w:rsidR="00B96CD7" w:rsidRPr="003E47C3">
        <w:rPr>
          <w:sz w:val="28"/>
          <w:szCs w:val="28"/>
        </w:rPr>
        <w:t> </w:t>
      </w:r>
      <w:r w:rsidR="00E57A5D" w:rsidRPr="003E47C3">
        <w:rPr>
          <w:sz w:val="28"/>
          <w:szCs w:val="28"/>
        </w:rPr>
        <w:t>150</w:t>
      </w:r>
      <w:r w:rsidR="00B96CD7" w:rsidRPr="003E47C3">
        <w:rPr>
          <w:sz w:val="28"/>
          <w:szCs w:val="28"/>
        </w:rPr>
        <w:t>,</w:t>
      </w:r>
      <w:r w:rsidR="00E57A5D" w:rsidRPr="003E47C3">
        <w:rPr>
          <w:sz w:val="28"/>
          <w:szCs w:val="28"/>
        </w:rPr>
        <w:t>6</w:t>
      </w:r>
      <w:r w:rsidR="00B96CD7" w:rsidRPr="003E47C3">
        <w:rPr>
          <w:sz w:val="28"/>
          <w:szCs w:val="28"/>
        </w:rPr>
        <w:t>00</w:t>
      </w:r>
      <w:r w:rsidR="009E67C1" w:rsidRPr="003E47C3">
        <w:rPr>
          <w:sz w:val="28"/>
          <w:szCs w:val="28"/>
        </w:rPr>
        <w:t xml:space="preserve"> тыс. рублей, в том числе из: бюджета автономного округа – </w:t>
      </w:r>
      <w:r w:rsidR="00E57A5D" w:rsidRPr="003E47C3">
        <w:rPr>
          <w:sz w:val="28"/>
          <w:szCs w:val="28"/>
        </w:rPr>
        <w:lastRenderedPageBreak/>
        <w:t>32 667,400</w:t>
      </w:r>
      <w:r w:rsidR="009E67C1" w:rsidRPr="003E47C3">
        <w:rPr>
          <w:sz w:val="28"/>
          <w:szCs w:val="28"/>
        </w:rPr>
        <w:t xml:space="preserve"> тыс. рублей, муниципального образования – </w:t>
      </w:r>
      <w:r w:rsidR="00E57A5D" w:rsidRPr="003E47C3">
        <w:rPr>
          <w:sz w:val="28"/>
          <w:szCs w:val="28"/>
        </w:rPr>
        <w:t>513 871,470</w:t>
      </w:r>
      <w:r w:rsidR="009E67C1" w:rsidRPr="003E47C3">
        <w:rPr>
          <w:sz w:val="28"/>
          <w:szCs w:val="28"/>
        </w:rPr>
        <w:t xml:space="preserve"> тыс. рублей, внебюджетных источников – </w:t>
      </w:r>
      <w:r w:rsidR="00E57A5D" w:rsidRPr="003E47C3">
        <w:rPr>
          <w:sz w:val="28"/>
          <w:szCs w:val="28"/>
        </w:rPr>
        <w:t>36 611,730</w:t>
      </w:r>
      <w:r w:rsidR="009E67C1" w:rsidRPr="003E47C3">
        <w:rPr>
          <w:sz w:val="28"/>
          <w:szCs w:val="28"/>
        </w:rPr>
        <w:t xml:space="preserve"> тыс. рублей, а именно:</w:t>
      </w:r>
    </w:p>
    <w:p w:rsidR="009E67C1" w:rsidRPr="003E47C3" w:rsidRDefault="009E67C1" w:rsidP="009E67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47C3">
        <w:rPr>
          <w:sz w:val="28"/>
          <w:szCs w:val="28"/>
        </w:rPr>
        <w:t>- в 201</w:t>
      </w:r>
      <w:r w:rsidR="00786C5B" w:rsidRPr="003E47C3">
        <w:rPr>
          <w:sz w:val="28"/>
          <w:szCs w:val="28"/>
        </w:rPr>
        <w:t>8</w:t>
      </w:r>
      <w:r w:rsidRPr="003E47C3">
        <w:rPr>
          <w:sz w:val="28"/>
          <w:szCs w:val="28"/>
        </w:rPr>
        <w:t xml:space="preserve"> году – </w:t>
      </w:r>
      <w:r w:rsidR="00786C5B" w:rsidRPr="003E47C3">
        <w:rPr>
          <w:sz w:val="28"/>
          <w:szCs w:val="28"/>
        </w:rPr>
        <w:t>204 040,900</w:t>
      </w:r>
      <w:r w:rsidRPr="003E47C3">
        <w:rPr>
          <w:sz w:val="28"/>
          <w:szCs w:val="28"/>
        </w:rPr>
        <w:t xml:space="preserve"> тыс. рублей, в том числе средства автономного округа – </w:t>
      </w:r>
      <w:r w:rsidR="00786C5B" w:rsidRPr="003E47C3">
        <w:rPr>
          <w:sz w:val="28"/>
          <w:szCs w:val="28"/>
        </w:rPr>
        <w:t>32 667,400</w:t>
      </w:r>
      <w:r w:rsidRPr="003E47C3">
        <w:rPr>
          <w:sz w:val="28"/>
          <w:szCs w:val="28"/>
        </w:rPr>
        <w:t xml:space="preserve"> тыс. рублей, местного бюджета – </w:t>
      </w:r>
      <w:r w:rsidR="00786C5B" w:rsidRPr="003E47C3">
        <w:rPr>
          <w:sz w:val="28"/>
          <w:szCs w:val="28"/>
        </w:rPr>
        <w:t>159 169,590</w:t>
      </w:r>
      <w:r w:rsidRPr="003E47C3">
        <w:rPr>
          <w:sz w:val="28"/>
          <w:szCs w:val="28"/>
        </w:rPr>
        <w:t xml:space="preserve"> тыс. рублей, внебюджетных источников – </w:t>
      </w:r>
      <w:r w:rsidR="00786C5B" w:rsidRPr="003E47C3">
        <w:rPr>
          <w:sz w:val="28"/>
          <w:szCs w:val="28"/>
        </w:rPr>
        <w:t>12 203,910</w:t>
      </w:r>
      <w:r w:rsidRPr="003E47C3">
        <w:rPr>
          <w:sz w:val="28"/>
          <w:szCs w:val="28"/>
        </w:rPr>
        <w:t xml:space="preserve"> тыс. рублей; </w:t>
      </w:r>
    </w:p>
    <w:p w:rsidR="009E67C1" w:rsidRPr="003E47C3" w:rsidRDefault="009E67C1" w:rsidP="009E67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47C3">
        <w:rPr>
          <w:sz w:val="28"/>
          <w:szCs w:val="28"/>
        </w:rPr>
        <w:t>- в 201</w:t>
      </w:r>
      <w:r w:rsidR="00786C5B" w:rsidRPr="003E47C3">
        <w:rPr>
          <w:sz w:val="28"/>
          <w:szCs w:val="28"/>
        </w:rPr>
        <w:t>9</w:t>
      </w:r>
      <w:r w:rsidRPr="003E47C3">
        <w:rPr>
          <w:sz w:val="28"/>
          <w:szCs w:val="28"/>
        </w:rPr>
        <w:t xml:space="preserve"> году – </w:t>
      </w:r>
      <w:r w:rsidR="00786C5B" w:rsidRPr="003E47C3">
        <w:rPr>
          <w:sz w:val="28"/>
          <w:szCs w:val="28"/>
        </w:rPr>
        <w:t>189 554,700</w:t>
      </w:r>
      <w:r w:rsidRPr="003E47C3">
        <w:rPr>
          <w:sz w:val="28"/>
          <w:szCs w:val="28"/>
        </w:rPr>
        <w:t xml:space="preserve"> тыс. рублей, в том числе средства местного бюджета – </w:t>
      </w:r>
      <w:r w:rsidR="00786C5B" w:rsidRPr="003E47C3">
        <w:rPr>
          <w:sz w:val="28"/>
          <w:szCs w:val="28"/>
        </w:rPr>
        <w:t>177 350,790</w:t>
      </w:r>
      <w:r w:rsidRPr="003E47C3">
        <w:rPr>
          <w:sz w:val="28"/>
          <w:szCs w:val="28"/>
        </w:rPr>
        <w:t xml:space="preserve"> тыс. рублей</w:t>
      </w:r>
      <w:r w:rsidR="00786C5B" w:rsidRPr="003E47C3">
        <w:rPr>
          <w:sz w:val="28"/>
          <w:szCs w:val="28"/>
        </w:rPr>
        <w:t>,</w:t>
      </w:r>
      <w:r w:rsidRPr="003E47C3">
        <w:rPr>
          <w:sz w:val="28"/>
          <w:szCs w:val="28"/>
        </w:rPr>
        <w:t xml:space="preserve"> внебюджетных источников – </w:t>
      </w:r>
      <w:r w:rsidR="00786C5B" w:rsidRPr="003E47C3">
        <w:rPr>
          <w:sz w:val="28"/>
          <w:szCs w:val="28"/>
        </w:rPr>
        <w:t>12 203,910</w:t>
      </w:r>
      <w:r w:rsidRPr="003E47C3">
        <w:rPr>
          <w:sz w:val="28"/>
          <w:szCs w:val="28"/>
        </w:rPr>
        <w:t xml:space="preserve"> </w:t>
      </w:r>
      <w:r w:rsidR="00786C5B" w:rsidRPr="003E47C3">
        <w:rPr>
          <w:sz w:val="28"/>
          <w:szCs w:val="28"/>
        </w:rPr>
        <w:br/>
      </w:r>
      <w:r w:rsidRPr="003E47C3">
        <w:rPr>
          <w:sz w:val="28"/>
          <w:szCs w:val="28"/>
        </w:rPr>
        <w:t>тыс. рублей;</w:t>
      </w:r>
    </w:p>
    <w:p w:rsidR="009E67C1" w:rsidRDefault="009E67C1" w:rsidP="009E67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47C3">
        <w:rPr>
          <w:sz w:val="28"/>
          <w:szCs w:val="28"/>
        </w:rPr>
        <w:t>- в 20</w:t>
      </w:r>
      <w:r w:rsidR="00BC351E" w:rsidRPr="003E47C3">
        <w:rPr>
          <w:sz w:val="28"/>
          <w:szCs w:val="28"/>
        </w:rPr>
        <w:t>20</w:t>
      </w:r>
      <w:r w:rsidRPr="003E47C3">
        <w:rPr>
          <w:sz w:val="28"/>
          <w:szCs w:val="28"/>
        </w:rPr>
        <w:t xml:space="preserve"> году – </w:t>
      </w:r>
      <w:r w:rsidR="00BC351E" w:rsidRPr="003E47C3">
        <w:rPr>
          <w:sz w:val="28"/>
          <w:szCs w:val="28"/>
        </w:rPr>
        <w:t>189 555,000</w:t>
      </w:r>
      <w:r w:rsidRPr="003E47C3">
        <w:rPr>
          <w:sz w:val="28"/>
          <w:szCs w:val="28"/>
        </w:rPr>
        <w:t xml:space="preserve"> тыс. рублей, в том числе средства местного бюджета – </w:t>
      </w:r>
      <w:r w:rsidR="00BC351E" w:rsidRPr="003E47C3">
        <w:rPr>
          <w:sz w:val="28"/>
          <w:szCs w:val="28"/>
        </w:rPr>
        <w:t>177 35</w:t>
      </w:r>
      <w:r w:rsidR="00E51202" w:rsidRPr="003E47C3">
        <w:rPr>
          <w:sz w:val="28"/>
          <w:szCs w:val="28"/>
        </w:rPr>
        <w:t>1</w:t>
      </w:r>
      <w:r w:rsidR="00BC351E" w:rsidRPr="003E47C3">
        <w:rPr>
          <w:sz w:val="28"/>
          <w:szCs w:val="28"/>
        </w:rPr>
        <w:t>,</w:t>
      </w:r>
      <w:r w:rsidR="00E51202" w:rsidRPr="003E47C3">
        <w:rPr>
          <w:sz w:val="28"/>
          <w:szCs w:val="28"/>
        </w:rPr>
        <w:t>0</w:t>
      </w:r>
      <w:r w:rsidR="00BC351E" w:rsidRPr="003E47C3">
        <w:rPr>
          <w:sz w:val="28"/>
          <w:szCs w:val="28"/>
        </w:rPr>
        <w:t>90</w:t>
      </w:r>
      <w:r w:rsidRPr="003E47C3">
        <w:rPr>
          <w:sz w:val="28"/>
          <w:szCs w:val="28"/>
        </w:rPr>
        <w:t xml:space="preserve"> тыс. рублей, внебюджетных источников – </w:t>
      </w:r>
      <w:r w:rsidR="00BC351E" w:rsidRPr="003E47C3">
        <w:rPr>
          <w:sz w:val="28"/>
          <w:szCs w:val="28"/>
        </w:rPr>
        <w:t>12 203,910</w:t>
      </w:r>
      <w:r w:rsidRPr="003E47C3">
        <w:rPr>
          <w:sz w:val="28"/>
          <w:szCs w:val="28"/>
        </w:rPr>
        <w:t xml:space="preserve"> </w:t>
      </w:r>
      <w:r w:rsidR="00BC351E" w:rsidRPr="003E47C3">
        <w:rPr>
          <w:sz w:val="28"/>
          <w:szCs w:val="28"/>
        </w:rPr>
        <w:br/>
      </w:r>
      <w:r w:rsidRPr="003E47C3">
        <w:rPr>
          <w:sz w:val="28"/>
          <w:szCs w:val="28"/>
        </w:rPr>
        <w:t>тыс. рублей.</w:t>
      </w:r>
    </w:p>
    <w:p w:rsidR="00292BEA" w:rsidRPr="005D48BD" w:rsidRDefault="00E31050" w:rsidP="009E67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48BD">
        <w:rPr>
          <w:sz w:val="28"/>
          <w:szCs w:val="28"/>
        </w:rPr>
        <w:t>В рамках данного мероприятия</w:t>
      </w:r>
      <w:r w:rsidR="00292BEA" w:rsidRPr="005D48BD">
        <w:rPr>
          <w:sz w:val="28"/>
          <w:szCs w:val="28"/>
        </w:rPr>
        <w:t xml:space="preserve"> </w:t>
      </w:r>
      <w:r w:rsidRPr="005D48BD">
        <w:rPr>
          <w:sz w:val="28"/>
          <w:szCs w:val="28"/>
        </w:rPr>
        <w:t xml:space="preserve">на 2018 год </w:t>
      </w:r>
      <w:r w:rsidR="00292BEA" w:rsidRPr="005D48BD">
        <w:rPr>
          <w:sz w:val="28"/>
          <w:szCs w:val="28"/>
        </w:rPr>
        <w:t>планиру</w:t>
      </w:r>
      <w:r w:rsidR="002C3A73" w:rsidRPr="005D48BD">
        <w:rPr>
          <w:sz w:val="28"/>
          <w:szCs w:val="28"/>
        </w:rPr>
        <w:t>ю</w:t>
      </w:r>
      <w:r w:rsidR="00292BEA" w:rsidRPr="005D48BD">
        <w:rPr>
          <w:sz w:val="28"/>
          <w:szCs w:val="28"/>
        </w:rPr>
        <w:t>тся</w:t>
      </w:r>
      <w:r w:rsidR="002C3A73" w:rsidRPr="005D48BD">
        <w:rPr>
          <w:sz w:val="28"/>
          <w:szCs w:val="28"/>
        </w:rPr>
        <w:t xml:space="preserve"> средства </w:t>
      </w:r>
      <w:r w:rsidR="00292BEA" w:rsidRPr="005D48BD">
        <w:rPr>
          <w:sz w:val="28"/>
          <w:szCs w:val="28"/>
        </w:rPr>
        <w:t>окружн</w:t>
      </w:r>
      <w:r w:rsidR="002C3A73" w:rsidRPr="005D48BD">
        <w:rPr>
          <w:sz w:val="28"/>
          <w:szCs w:val="28"/>
        </w:rPr>
        <w:t xml:space="preserve">ого бюджета </w:t>
      </w:r>
      <w:r w:rsidR="00DA2593" w:rsidRPr="005D48BD">
        <w:rPr>
          <w:sz w:val="28"/>
          <w:szCs w:val="28"/>
        </w:rPr>
        <w:t xml:space="preserve">в сумме 32 667,400 тыс. рублей, </w:t>
      </w:r>
      <w:r w:rsidR="000B3D67" w:rsidRPr="005D48BD">
        <w:rPr>
          <w:sz w:val="28"/>
          <w:szCs w:val="28"/>
        </w:rPr>
        <w:t xml:space="preserve">на повышение оплаты труда педагогических работников муниципальных </w:t>
      </w:r>
      <w:r w:rsidRPr="005D48BD">
        <w:rPr>
          <w:sz w:val="28"/>
          <w:szCs w:val="28"/>
        </w:rPr>
        <w:t xml:space="preserve">учреждений </w:t>
      </w:r>
      <w:r w:rsidR="000B3D67" w:rsidRPr="005D48BD">
        <w:rPr>
          <w:sz w:val="28"/>
          <w:szCs w:val="28"/>
        </w:rPr>
        <w:t>дополнительног</w:t>
      </w:r>
      <w:r w:rsidR="003503D6" w:rsidRPr="005D48BD">
        <w:rPr>
          <w:sz w:val="28"/>
          <w:szCs w:val="28"/>
        </w:rPr>
        <w:t xml:space="preserve">о образования детей </w:t>
      </w:r>
      <w:r w:rsidR="002C3A73" w:rsidRPr="005D48BD">
        <w:rPr>
          <w:sz w:val="28"/>
          <w:szCs w:val="28"/>
        </w:rPr>
        <w:t>в целях реализации Указа Президента Российской Федерации</w:t>
      </w:r>
      <w:r w:rsidR="003503D6" w:rsidRPr="005D48BD">
        <w:rPr>
          <w:sz w:val="28"/>
          <w:szCs w:val="28"/>
        </w:rPr>
        <w:t xml:space="preserve">. </w:t>
      </w:r>
      <w:r w:rsidR="00D6144D" w:rsidRPr="005D48BD">
        <w:rPr>
          <w:sz w:val="28"/>
          <w:szCs w:val="28"/>
        </w:rPr>
        <w:t xml:space="preserve">Следует отметить, что </w:t>
      </w:r>
      <w:r w:rsidR="005D48BD" w:rsidRPr="005D48BD">
        <w:rPr>
          <w:sz w:val="28"/>
          <w:szCs w:val="28"/>
        </w:rPr>
        <w:t xml:space="preserve">в </w:t>
      </w:r>
      <w:r w:rsidR="00D6144D" w:rsidRPr="005D48BD">
        <w:rPr>
          <w:sz w:val="28"/>
          <w:szCs w:val="28"/>
        </w:rPr>
        <w:t>предоставленн</w:t>
      </w:r>
      <w:r w:rsidRPr="005D48BD">
        <w:rPr>
          <w:sz w:val="28"/>
          <w:szCs w:val="28"/>
        </w:rPr>
        <w:t>ом</w:t>
      </w:r>
      <w:r w:rsidR="00D6144D" w:rsidRPr="005D48BD">
        <w:rPr>
          <w:sz w:val="28"/>
          <w:szCs w:val="28"/>
        </w:rPr>
        <w:t xml:space="preserve"> р</w:t>
      </w:r>
      <w:r w:rsidR="003503D6" w:rsidRPr="005D48BD">
        <w:rPr>
          <w:sz w:val="28"/>
          <w:szCs w:val="28"/>
        </w:rPr>
        <w:t>асчёт</w:t>
      </w:r>
      <w:r w:rsidRPr="005D48BD">
        <w:rPr>
          <w:sz w:val="28"/>
          <w:szCs w:val="28"/>
        </w:rPr>
        <w:t>е</w:t>
      </w:r>
      <w:r w:rsidR="003503D6" w:rsidRPr="005D48BD">
        <w:rPr>
          <w:sz w:val="28"/>
          <w:szCs w:val="28"/>
        </w:rPr>
        <w:t>, содерж</w:t>
      </w:r>
      <w:r w:rsidR="005D48BD" w:rsidRPr="005D48BD">
        <w:rPr>
          <w:sz w:val="28"/>
          <w:szCs w:val="28"/>
        </w:rPr>
        <w:t>а</w:t>
      </w:r>
      <w:r w:rsidR="003503D6" w:rsidRPr="005D48BD">
        <w:rPr>
          <w:sz w:val="28"/>
          <w:szCs w:val="28"/>
        </w:rPr>
        <w:t>т</w:t>
      </w:r>
      <w:r w:rsidRPr="005D48BD">
        <w:rPr>
          <w:sz w:val="28"/>
          <w:szCs w:val="28"/>
        </w:rPr>
        <w:t>ся</w:t>
      </w:r>
      <w:r w:rsidR="003503D6" w:rsidRPr="005D48BD">
        <w:rPr>
          <w:sz w:val="28"/>
          <w:szCs w:val="28"/>
        </w:rPr>
        <w:t xml:space="preserve"> </w:t>
      </w:r>
      <w:r w:rsidR="003A7875">
        <w:rPr>
          <w:sz w:val="28"/>
          <w:szCs w:val="28"/>
        </w:rPr>
        <w:t xml:space="preserve">сведения </w:t>
      </w:r>
      <w:r w:rsidR="00AF2694">
        <w:rPr>
          <w:sz w:val="28"/>
          <w:szCs w:val="28"/>
        </w:rPr>
        <w:br/>
      </w:r>
      <w:r w:rsidR="003A7875">
        <w:rPr>
          <w:sz w:val="28"/>
          <w:szCs w:val="28"/>
        </w:rPr>
        <w:t xml:space="preserve">о планируемых расходах </w:t>
      </w:r>
      <w:r w:rsidRPr="005D48BD">
        <w:rPr>
          <w:sz w:val="28"/>
          <w:szCs w:val="28"/>
        </w:rPr>
        <w:t>в размере 18 818,400 тыс. рублей необходим</w:t>
      </w:r>
      <w:r w:rsidR="005D48BD" w:rsidRPr="005D48BD">
        <w:rPr>
          <w:sz w:val="28"/>
          <w:szCs w:val="28"/>
        </w:rPr>
        <w:t>ы</w:t>
      </w:r>
      <w:r w:rsidR="003A7875">
        <w:rPr>
          <w:sz w:val="28"/>
          <w:szCs w:val="28"/>
        </w:rPr>
        <w:t>х</w:t>
      </w:r>
      <w:r w:rsidR="00D6144D" w:rsidRPr="005D48BD">
        <w:rPr>
          <w:sz w:val="28"/>
          <w:szCs w:val="28"/>
        </w:rPr>
        <w:t xml:space="preserve"> на реализацию вышеуказанных выплат</w:t>
      </w:r>
      <w:r w:rsidR="003503D6" w:rsidRPr="005D48BD">
        <w:rPr>
          <w:sz w:val="28"/>
          <w:szCs w:val="28"/>
        </w:rPr>
        <w:t>.</w:t>
      </w:r>
      <w:r w:rsidR="00D6144D" w:rsidRPr="005D48BD">
        <w:rPr>
          <w:sz w:val="28"/>
          <w:szCs w:val="28"/>
        </w:rPr>
        <w:t xml:space="preserve"> В связи с этим, рекомендуем </w:t>
      </w:r>
      <w:r w:rsidRPr="005D48BD">
        <w:rPr>
          <w:sz w:val="28"/>
          <w:szCs w:val="28"/>
        </w:rPr>
        <w:t>излишне запланированные межбюджетные трансферты вернуть в бюджет автономного округа после внесённых корректировок и уточнения бюджетных ассигнований.</w:t>
      </w:r>
    </w:p>
    <w:p w:rsidR="00AE69D3" w:rsidRPr="007A1F60" w:rsidRDefault="00E50D78" w:rsidP="00650D3A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</w:t>
      </w:r>
      <w:r w:rsidR="00F868F8" w:rsidRPr="007A1F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AE69D3" w:rsidRPr="007A1F60">
        <w:rPr>
          <w:sz w:val="28"/>
          <w:szCs w:val="28"/>
          <w:shd w:val="clear" w:color="auto" w:fill="FFFFFF"/>
        </w:rPr>
        <w:t xml:space="preserve"> рамках мероприятия 6 «Развитие культурно-досуговой деятельности, массового отдыха населения, организация отдыха и оздоровления детей</w:t>
      </w:r>
      <w:r w:rsidR="00A67657" w:rsidRPr="007A1F60">
        <w:rPr>
          <w:sz w:val="28"/>
          <w:szCs w:val="28"/>
          <w:shd w:val="clear" w:color="auto" w:fill="FFFFFF"/>
        </w:rPr>
        <w:t xml:space="preserve">», планируется финансирование в общей сумме </w:t>
      </w:r>
      <w:r w:rsidR="00F92BD1" w:rsidRPr="007A1F60">
        <w:rPr>
          <w:sz w:val="28"/>
          <w:szCs w:val="28"/>
          <w:shd w:val="clear" w:color="auto" w:fill="FFFFFF"/>
        </w:rPr>
        <w:t>9 725,724 тыс. рублей, в том числе:</w:t>
      </w:r>
    </w:p>
    <w:p w:rsidR="00F92BD1" w:rsidRPr="007A1F60" w:rsidRDefault="00F92BD1" w:rsidP="00F92B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F60">
        <w:rPr>
          <w:sz w:val="28"/>
          <w:szCs w:val="28"/>
        </w:rPr>
        <w:t>- в 201</w:t>
      </w:r>
      <w:r w:rsidR="004B1D68" w:rsidRPr="007A1F60">
        <w:rPr>
          <w:sz w:val="28"/>
          <w:szCs w:val="28"/>
        </w:rPr>
        <w:t>8</w:t>
      </w:r>
      <w:r w:rsidRPr="007A1F60">
        <w:rPr>
          <w:sz w:val="28"/>
          <w:szCs w:val="28"/>
        </w:rPr>
        <w:t xml:space="preserve"> году – 3 241,908 тыс. рублей, в том числе средства автономного округа – 607,999 тыс. рублей, местного бюджета – 2 633,909 тыс. рублей;</w:t>
      </w:r>
    </w:p>
    <w:p w:rsidR="00F92BD1" w:rsidRPr="007A1F60" w:rsidRDefault="004B1D68" w:rsidP="00F92B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F60">
        <w:rPr>
          <w:sz w:val="28"/>
          <w:szCs w:val="28"/>
        </w:rPr>
        <w:t>- в 2019</w:t>
      </w:r>
      <w:r w:rsidR="00F92BD1" w:rsidRPr="007A1F60">
        <w:rPr>
          <w:sz w:val="28"/>
          <w:szCs w:val="28"/>
        </w:rPr>
        <w:t xml:space="preserve"> году – 3 241,908 тыс. рублей, в том числе средства автономного округа – 607,999 тыс. рублей, местного бюджета – 2 633,909 тыс. рублей;</w:t>
      </w:r>
    </w:p>
    <w:p w:rsidR="00F92BD1" w:rsidRPr="007A1F60" w:rsidRDefault="00F92BD1" w:rsidP="00F92B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F60">
        <w:rPr>
          <w:sz w:val="28"/>
          <w:szCs w:val="28"/>
        </w:rPr>
        <w:t>- в 20</w:t>
      </w:r>
      <w:r w:rsidR="004B1D68" w:rsidRPr="007A1F60">
        <w:rPr>
          <w:sz w:val="28"/>
          <w:szCs w:val="28"/>
        </w:rPr>
        <w:t>20</w:t>
      </w:r>
      <w:r w:rsidRPr="007A1F60">
        <w:rPr>
          <w:sz w:val="28"/>
          <w:szCs w:val="28"/>
        </w:rPr>
        <w:t xml:space="preserve"> году – 3 241,908 тыс. рублей, в том числе средства автономного округа – 607,999 тыс. рублей, местного бюджета – 2 633,909 тыс. рублей.</w:t>
      </w:r>
    </w:p>
    <w:p w:rsidR="00E2164A" w:rsidRPr="007A1F60" w:rsidRDefault="00DF56D1" w:rsidP="005470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9C4" w:rsidRPr="007A1F60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9679C4" w:rsidRPr="007A1F60">
        <w:rPr>
          <w:sz w:val="28"/>
          <w:szCs w:val="28"/>
        </w:rPr>
        <w:t xml:space="preserve"> </w:t>
      </w:r>
      <w:r w:rsidR="00E2164A" w:rsidRPr="007A1F60">
        <w:rPr>
          <w:sz w:val="28"/>
          <w:szCs w:val="28"/>
        </w:rPr>
        <w:t xml:space="preserve">Финансирование мероприятия </w:t>
      </w:r>
      <w:r w:rsidR="005470D6" w:rsidRPr="007A1F60">
        <w:rPr>
          <w:sz w:val="28"/>
          <w:szCs w:val="28"/>
        </w:rPr>
        <w:t>«Обеспечение деятельности комитета культуры</w:t>
      </w:r>
      <w:r w:rsidR="0098428C">
        <w:rPr>
          <w:sz w:val="28"/>
          <w:szCs w:val="28"/>
        </w:rPr>
        <w:t xml:space="preserve"> и туризма </w:t>
      </w:r>
      <w:r w:rsidR="005470D6" w:rsidRPr="007A1F60">
        <w:rPr>
          <w:sz w:val="28"/>
          <w:szCs w:val="28"/>
        </w:rPr>
        <w:t xml:space="preserve">администрации города Нефтеюганска (далее по тексту – </w:t>
      </w:r>
      <w:r w:rsidR="0098428C">
        <w:rPr>
          <w:sz w:val="28"/>
          <w:szCs w:val="28"/>
        </w:rPr>
        <w:t>к</w:t>
      </w:r>
      <w:r w:rsidR="005470D6" w:rsidRPr="007A1F60">
        <w:rPr>
          <w:sz w:val="28"/>
          <w:szCs w:val="28"/>
        </w:rPr>
        <w:t>омитет культуры</w:t>
      </w:r>
      <w:r w:rsidR="003C6B10">
        <w:rPr>
          <w:sz w:val="28"/>
          <w:szCs w:val="28"/>
        </w:rPr>
        <w:t xml:space="preserve"> и туризма</w:t>
      </w:r>
      <w:r w:rsidR="005470D6" w:rsidRPr="007A1F60">
        <w:rPr>
          <w:sz w:val="28"/>
          <w:szCs w:val="28"/>
        </w:rPr>
        <w:t xml:space="preserve">) </w:t>
      </w:r>
      <w:r w:rsidR="00E2164A" w:rsidRPr="007A1F60">
        <w:rPr>
          <w:sz w:val="28"/>
          <w:szCs w:val="28"/>
        </w:rPr>
        <w:t>подпрограммы 2 «Обеспечение реализации муниципальной программы» за счёт средств местного бюджета</w:t>
      </w:r>
      <w:r w:rsidR="00ED1A8B" w:rsidRPr="007A1F60">
        <w:rPr>
          <w:sz w:val="28"/>
          <w:szCs w:val="28"/>
        </w:rPr>
        <w:t xml:space="preserve"> в общей сумме </w:t>
      </w:r>
      <w:r w:rsidR="00A052F8" w:rsidRPr="007A1F60">
        <w:rPr>
          <w:sz w:val="28"/>
          <w:szCs w:val="28"/>
        </w:rPr>
        <w:t>70 631,100</w:t>
      </w:r>
      <w:r w:rsidR="00ED1A8B" w:rsidRPr="007A1F60">
        <w:rPr>
          <w:sz w:val="28"/>
          <w:szCs w:val="28"/>
        </w:rPr>
        <w:t xml:space="preserve"> тыс. рублей, в том числе</w:t>
      </w:r>
      <w:r w:rsidR="00E2164A" w:rsidRPr="007A1F60">
        <w:rPr>
          <w:sz w:val="28"/>
          <w:szCs w:val="28"/>
        </w:rPr>
        <w:t>:</w:t>
      </w:r>
    </w:p>
    <w:p w:rsidR="00E2164A" w:rsidRPr="007A1F60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A1F60">
        <w:rPr>
          <w:sz w:val="28"/>
          <w:szCs w:val="28"/>
        </w:rPr>
        <w:tab/>
        <w:t>- 201</w:t>
      </w:r>
      <w:r w:rsidR="00845438" w:rsidRPr="007A1F60">
        <w:rPr>
          <w:sz w:val="28"/>
          <w:szCs w:val="28"/>
        </w:rPr>
        <w:t>8</w:t>
      </w:r>
      <w:r w:rsidRPr="007A1F60">
        <w:rPr>
          <w:sz w:val="28"/>
          <w:szCs w:val="28"/>
        </w:rPr>
        <w:t xml:space="preserve"> год на сумму </w:t>
      </w:r>
      <w:r w:rsidR="00845438" w:rsidRPr="007A1F60">
        <w:rPr>
          <w:sz w:val="28"/>
          <w:szCs w:val="28"/>
        </w:rPr>
        <w:t>23 517,500</w:t>
      </w:r>
      <w:r w:rsidRPr="007A1F60">
        <w:rPr>
          <w:sz w:val="28"/>
          <w:szCs w:val="28"/>
        </w:rPr>
        <w:t xml:space="preserve"> тыс. рублей;</w:t>
      </w:r>
    </w:p>
    <w:p w:rsidR="00E2164A" w:rsidRPr="007A1F60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A1F60">
        <w:rPr>
          <w:sz w:val="28"/>
          <w:szCs w:val="28"/>
        </w:rPr>
        <w:tab/>
        <w:t>- 201</w:t>
      </w:r>
      <w:r w:rsidR="00845438" w:rsidRPr="007A1F60">
        <w:rPr>
          <w:sz w:val="28"/>
          <w:szCs w:val="28"/>
        </w:rPr>
        <w:t>9</w:t>
      </w:r>
      <w:r w:rsidRPr="007A1F60">
        <w:rPr>
          <w:sz w:val="28"/>
          <w:szCs w:val="28"/>
        </w:rPr>
        <w:t xml:space="preserve"> год на сумму </w:t>
      </w:r>
      <w:r w:rsidR="00845438" w:rsidRPr="007A1F60">
        <w:rPr>
          <w:sz w:val="28"/>
          <w:szCs w:val="28"/>
        </w:rPr>
        <w:t>23 523,400</w:t>
      </w:r>
      <w:r w:rsidRPr="007A1F60">
        <w:rPr>
          <w:sz w:val="28"/>
          <w:szCs w:val="28"/>
        </w:rPr>
        <w:t xml:space="preserve"> тыс. рублей;</w:t>
      </w:r>
    </w:p>
    <w:p w:rsidR="00E2164A" w:rsidRPr="007A1F60" w:rsidRDefault="00E2164A" w:rsidP="00E2164A">
      <w:pPr>
        <w:tabs>
          <w:tab w:val="left" w:pos="0"/>
        </w:tabs>
        <w:jc w:val="both"/>
        <w:rPr>
          <w:sz w:val="28"/>
          <w:szCs w:val="28"/>
        </w:rPr>
      </w:pPr>
      <w:r w:rsidRPr="007A1F60">
        <w:rPr>
          <w:sz w:val="28"/>
          <w:szCs w:val="28"/>
        </w:rPr>
        <w:tab/>
        <w:t>- 20</w:t>
      </w:r>
      <w:r w:rsidR="00845438" w:rsidRPr="007A1F60">
        <w:rPr>
          <w:sz w:val="28"/>
          <w:szCs w:val="28"/>
        </w:rPr>
        <w:t>20</w:t>
      </w:r>
      <w:r w:rsidRPr="007A1F60">
        <w:rPr>
          <w:sz w:val="28"/>
          <w:szCs w:val="28"/>
        </w:rPr>
        <w:t xml:space="preserve"> год на сумму </w:t>
      </w:r>
      <w:r w:rsidR="00845438" w:rsidRPr="007A1F60">
        <w:rPr>
          <w:sz w:val="28"/>
          <w:szCs w:val="28"/>
        </w:rPr>
        <w:t>23 590,200</w:t>
      </w:r>
      <w:r w:rsidRPr="007A1F60">
        <w:rPr>
          <w:sz w:val="28"/>
          <w:szCs w:val="28"/>
        </w:rPr>
        <w:t xml:space="preserve"> тыс. рублей</w:t>
      </w:r>
    </w:p>
    <w:p w:rsidR="00F00C12" w:rsidRPr="00EE1193" w:rsidRDefault="00F00C12" w:rsidP="00F00C1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статьёй </w:t>
      </w:r>
      <w:r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 (включая соот</w:t>
      </w:r>
      <w:r>
        <w:rPr>
          <w:rFonts w:eastAsia="Calibri"/>
          <w:sz w:val="28"/>
          <w:szCs w:val="28"/>
          <w:lang w:eastAsia="en-US"/>
        </w:rPr>
        <w:t>ветственно подведомственные казё</w:t>
      </w:r>
      <w:r w:rsidRPr="00EE1193">
        <w:rPr>
          <w:rFonts w:eastAsia="Calibri"/>
          <w:sz w:val="28"/>
          <w:szCs w:val="28"/>
          <w:lang w:eastAsia="en-US"/>
        </w:rPr>
        <w:t>нные учреждения).</w:t>
      </w:r>
    </w:p>
    <w:p w:rsidR="00F00C12" w:rsidRPr="00EE1193" w:rsidRDefault="00F00C12" w:rsidP="00F00C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>емым ими, подведомственными казё</w:t>
      </w:r>
      <w:r w:rsidRPr="00EE1193">
        <w:rPr>
          <w:rFonts w:eastAsia="Calibri"/>
          <w:sz w:val="28"/>
          <w:szCs w:val="28"/>
          <w:lang w:eastAsia="en-US"/>
        </w:rPr>
        <w:t>нными учреждениями и бюджетными учреждениями</w:t>
      </w:r>
      <w:r>
        <w:rPr>
          <w:rFonts w:eastAsia="Calibri"/>
          <w:sz w:val="28"/>
          <w:szCs w:val="28"/>
          <w:lang w:eastAsia="en-US"/>
        </w:rPr>
        <w:t>,</w:t>
      </w:r>
      <w:r w:rsidRPr="00EE1193"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</w:t>
      </w:r>
      <w:r w:rsidRPr="00EE1193">
        <w:rPr>
          <w:rFonts w:eastAsia="Calibri"/>
          <w:sz w:val="28"/>
          <w:szCs w:val="28"/>
          <w:lang w:eastAsia="en-US"/>
        </w:rPr>
        <w:lastRenderedPageBreak/>
        <w:t>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>ганов и подведомственных им казё</w:t>
      </w:r>
      <w:r w:rsidRPr="00EE1193">
        <w:rPr>
          <w:rFonts w:eastAsia="Calibri"/>
          <w:sz w:val="28"/>
          <w:szCs w:val="28"/>
          <w:lang w:eastAsia="en-US"/>
        </w:rPr>
        <w:t>нных учреждений.</w:t>
      </w:r>
    </w:p>
    <w:p w:rsidR="00F00C12" w:rsidRDefault="00F00C12" w:rsidP="00F00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E1193">
        <w:rPr>
          <w:sz w:val="28"/>
          <w:szCs w:val="28"/>
        </w:rPr>
        <w:t>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</w:t>
      </w:r>
      <w:r w:rsidR="00AF2694">
        <w:rPr>
          <w:sz w:val="28"/>
          <w:szCs w:val="28"/>
        </w:rPr>
        <w:t xml:space="preserve"> (далее по тексту </w:t>
      </w:r>
      <w:r w:rsidR="00B56909">
        <w:rPr>
          <w:sz w:val="28"/>
          <w:szCs w:val="28"/>
        </w:rPr>
        <w:t>–</w:t>
      </w:r>
      <w:r w:rsidR="00AF2694">
        <w:rPr>
          <w:sz w:val="28"/>
          <w:szCs w:val="28"/>
        </w:rPr>
        <w:t xml:space="preserve"> </w:t>
      </w:r>
      <w:r w:rsidR="00B56909">
        <w:rPr>
          <w:sz w:val="28"/>
          <w:szCs w:val="28"/>
        </w:rPr>
        <w:t>постановление от 05.07.2016 № 137-нп)</w:t>
      </w:r>
      <w:r>
        <w:rPr>
          <w:sz w:val="28"/>
          <w:szCs w:val="28"/>
        </w:rPr>
        <w:t xml:space="preserve">, определено, что </w:t>
      </w:r>
      <w:r w:rsidRPr="00EE1193">
        <w:rPr>
          <w:sz w:val="28"/>
          <w:szCs w:val="28"/>
        </w:rPr>
        <w:t xml:space="preserve">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</w:t>
      </w:r>
      <w:r w:rsidRPr="006C7247">
        <w:rPr>
          <w:sz w:val="28"/>
          <w:szCs w:val="28"/>
        </w:rPr>
        <w:t xml:space="preserve">в срок </w:t>
      </w:r>
      <w:r w:rsidRPr="00F42645">
        <w:rPr>
          <w:sz w:val="28"/>
          <w:szCs w:val="28"/>
          <w:u w:val="single"/>
        </w:rPr>
        <w:t>не позднее 15 сентября текущего финансового года</w:t>
      </w:r>
      <w:r w:rsidRPr="006C7247">
        <w:rPr>
          <w:sz w:val="28"/>
          <w:szCs w:val="28"/>
        </w:rPr>
        <w:t>.</w:t>
      </w:r>
    </w:p>
    <w:p w:rsidR="00F00C12" w:rsidRDefault="00F00C12" w:rsidP="00F0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>В нарушение вышеназванного пункта</w:t>
      </w:r>
      <w:r>
        <w:rPr>
          <w:sz w:val="28"/>
          <w:szCs w:val="28"/>
        </w:rPr>
        <w:t>,</w:t>
      </w:r>
      <w:r w:rsidRPr="002A6576">
        <w:rPr>
          <w:sz w:val="28"/>
          <w:szCs w:val="28"/>
        </w:rPr>
        <w:t xml:space="preserve"> </w:t>
      </w:r>
      <w:r w:rsidR="008B7ECB">
        <w:rPr>
          <w:sz w:val="28"/>
          <w:szCs w:val="28"/>
        </w:rPr>
        <w:t>комитетом культуры и туризма администрации города Нефтеюганска</w:t>
      </w:r>
      <w:r>
        <w:rPr>
          <w:sz w:val="28"/>
          <w:szCs w:val="28"/>
        </w:rPr>
        <w:t xml:space="preserve"> не</w:t>
      </w:r>
      <w:r w:rsidRPr="002A6576">
        <w:rPr>
          <w:sz w:val="28"/>
          <w:szCs w:val="28"/>
        </w:rPr>
        <w:t xml:space="preserve"> предоставлен </w:t>
      </w:r>
      <w:r w:rsidRPr="005037B9">
        <w:rPr>
          <w:sz w:val="28"/>
          <w:szCs w:val="28"/>
        </w:rPr>
        <w:t xml:space="preserve">приказ </w:t>
      </w:r>
      <w:r w:rsidRPr="002A6576">
        <w:rPr>
          <w:sz w:val="28"/>
          <w:szCs w:val="28"/>
        </w:rPr>
        <w:t xml:space="preserve">«Об утверждении нормативных затрат на обеспечение функций </w:t>
      </w:r>
      <w:r w:rsidR="008B7ECB">
        <w:rPr>
          <w:sz w:val="28"/>
          <w:szCs w:val="28"/>
        </w:rPr>
        <w:t>комитета культуры и туризма</w:t>
      </w:r>
      <w:r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>администрации города Нефтеюганска на 2018 год»</w:t>
      </w:r>
      <w:r>
        <w:rPr>
          <w:sz w:val="28"/>
          <w:szCs w:val="28"/>
        </w:rPr>
        <w:t>.</w:t>
      </w:r>
    </w:p>
    <w:p w:rsidR="00F00C12" w:rsidRDefault="00F00C12" w:rsidP="00F0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>Учитывая, что данный документ применяется при обосновании закупок при формировании проекта бюджета на очередной финансовый год и плановый</w:t>
      </w:r>
      <w:r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отражение возможных нарушений и замечаний при формировании расходов </w:t>
      </w:r>
      <w:r w:rsidRPr="009137F1">
        <w:rPr>
          <w:sz w:val="28"/>
          <w:szCs w:val="28"/>
        </w:rPr>
        <w:t xml:space="preserve">на обеспечение функций </w:t>
      </w:r>
      <w:r w:rsidR="00C31FC1">
        <w:rPr>
          <w:sz w:val="28"/>
          <w:szCs w:val="28"/>
        </w:rPr>
        <w:t>комитета культуры и туризма</w:t>
      </w:r>
      <w:r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 Нефтеюганска будет представлено в заключении Счётной палаты города Нефтеюганска на проект решения о бюджете города на 2018 год и плановый период 2019 - 2020</w:t>
      </w:r>
      <w:r w:rsidRPr="00EE1193">
        <w:rPr>
          <w:sz w:val="28"/>
          <w:szCs w:val="28"/>
        </w:rPr>
        <w:t xml:space="preserve"> годов.</w:t>
      </w:r>
    </w:p>
    <w:p w:rsidR="006A5E56" w:rsidRDefault="003006F5" w:rsidP="008F73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ответственным исполнителем – комитетом культуры </w:t>
      </w:r>
      <w:r w:rsidR="00415322">
        <w:rPr>
          <w:sz w:val="28"/>
          <w:szCs w:val="28"/>
        </w:rPr>
        <w:t xml:space="preserve">и туризма </w:t>
      </w:r>
      <w:r>
        <w:rPr>
          <w:sz w:val="28"/>
          <w:szCs w:val="28"/>
        </w:rPr>
        <w:t>администрации города Нефтеюганска предоставлен расчёт расходов налог</w:t>
      </w:r>
      <w:r w:rsidR="002C3A73">
        <w:rPr>
          <w:sz w:val="28"/>
          <w:szCs w:val="28"/>
        </w:rPr>
        <w:t>а</w:t>
      </w:r>
      <w:r>
        <w:rPr>
          <w:sz w:val="28"/>
          <w:szCs w:val="28"/>
        </w:rPr>
        <w:t xml:space="preserve"> на имущество в 2018 году – 384,000 тыс. ру</w:t>
      </w:r>
      <w:r w:rsidR="002C3A73">
        <w:rPr>
          <w:sz w:val="28"/>
          <w:szCs w:val="28"/>
        </w:rPr>
        <w:t>б</w:t>
      </w:r>
      <w:r>
        <w:rPr>
          <w:sz w:val="28"/>
          <w:szCs w:val="28"/>
        </w:rPr>
        <w:t xml:space="preserve">лей с аналогичной суммой на каждый год соответственно. </w:t>
      </w:r>
      <w:r w:rsidR="00EB339E">
        <w:rPr>
          <w:sz w:val="28"/>
          <w:szCs w:val="28"/>
        </w:rPr>
        <w:t>Согласно пу</w:t>
      </w:r>
      <w:r w:rsidR="00415322">
        <w:rPr>
          <w:sz w:val="28"/>
          <w:szCs w:val="28"/>
        </w:rPr>
        <w:t xml:space="preserve">нкту 85 Приказа Минфина России </w:t>
      </w:r>
      <w:r w:rsidR="00EB339E">
        <w:rPr>
          <w:sz w:val="28"/>
          <w:szCs w:val="28"/>
        </w:rPr>
        <w:t xml:space="preserve">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фондами» </w:t>
      </w:r>
      <w:r w:rsidR="008F736F">
        <w:rPr>
          <w:sz w:val="28"/>
          <w:szCs w:val="28"/>
        </w:rPr>
        <w:t>под остаточной стоимостью амортизируемого объекта на соответствующую дату понимается балансовая стоимость объекта, уменьшенная на сумму начисленной на соответствующую дату амортизации</w:t>
      </w:r>
      <w:r w:rsidR="00F01AF8">
        <w:rPr>
          <w:sz w:val="28"/>
          <w:szCs w:val="28"/>
        </w:rPr>
        <w:t>, которая в течении года начисляется ежемесячно в размере 1/12 годовой суммы</w:t>
      </w:r>
      <w:r w:rsidR="008F736F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Рекомендуем средства на уплату имуществе</w:t>
      </w:r>
      <w:r w:rsidR="002C3A73">
        <w:rPr>
          <w:sz w:val="28"/>
          <w:szCs w:val="28"/>
        </w:rPr>
        <w:t xml:space="preserve">нного налога </w:t>
      </w:r>
      <w:r w:rsidR="00DF56D1">
        <w:rPr>
          <w:sz w:val="28"/>
          <w:szCs w:val="28"/>
        </w:rPr>
        <w:br/>
      </w:r>
      <w:r w:rsidR="002C3A73">
        <w:rPr>
          <w:sz w:val="28"/>
          <w:szCs w:val="28"/>
        </w:rPr>
        <w:t xml:space="preserve">в 2019-2020 годах </w:t>
      </w:r>
      <w:r w:rsidR="008B7ECB">
        <w:rPr>
          <w:sz w:val="28"/>
          <w:szCs w:val="28"/>
        </w:rPr>
        <w:t>предусматривать</w:t>
      </w:r>
      <w:r w:rsidR="00F0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учётом </w:t>
      </w:r>
      <w:r w:rsidR="00F01AF8">
        <w:rPr>
          <w:sz w:val="28"/>
          <w:szCs w:val="28"/>
        </w:rPr>
        <w:t xml:space="preserve">расчёта планируемой </w:t>
      </w:r>
      <w:r w:rsidR="002C3A73">
        <w:rPr>
          <w:sz w:val="28"/>
          <w:szCs w:val="28"/>
        </w:rPr>
        <w:t xml:space="preserve">суммы начисленной </w:t>
      </w:r>
      <w:r>
        <w:rPr>
          <w:sz w:val="28"/>
          <w:szCs w:val="28"/>
        </w:rPr>
        <w:t>амортизаци</w:t>
      </w:r>
      <w:r w:rsidR="002C3A73">
        <w:rPr>
          <w:sz w:val="28"/>
          <w:szCs w:val="28"/>
        </w:rPr>
        <w:t xml:space="preserve">и. </w:t>
      </w:r>
    </w:p>
    <w:p w:rsidR="00731378" w:rsidRPr="00731378" w:rsidRDefault="00165054" w:rsidP="00731378">
      <w:pPr>
        <w:pStyle w:val="ConsPlusNormal"/>
        <w:ind w:firstLine="709"/>
        <w:jc w:val="both"/>
      </w:pPr>
      <w:r>
        <w:t xml:space="preserve">Кроме того, обращаем внимание, </w:t>
      </w:r>
      <w:r w:rsidR="00731378">
        <w:t>что в</w:t>
      </w:r>
      <w:r w:rsidR="00731378" w:rsidRPr="00731378">
        <w:rPr>
          <w:color w:val="000000"/>
        </w:rPr>
        <w:t xml:space="preserve"> соответствии</w:t>
      </w:r>
      <w:r w:rsidR="00731378" w:rsidRPr="00731378">
        <w:t xml:space="preserve"> с пунктом </w:t>
      </w:r>
      <w:r w:rsidR="00731378">
        <w:br/>
      </w:r>
      <w:r w:rsidR="00731378" w:rsidRPr="00731378">
        <w:t xml:space="preserve">4 </w:t>
      </w:r>
      <w:r w:rsidR="00731378" w:rsidRPr="00731378">
        <w:rPr>
          <w:color w:val="000000"/>
        </w:rPr>
        <w:t xml:space="preserve">статьи 421 Налогового кодекса Российской Федерации (далее по тексту – </w:t>
      </w:r>
      <w:r w:rsidR="00AF2694">
        <w:rPr>
          <w:color w:val="000000"/>
        </w:rPr>
        <w:br/>
      </w:r>
      <w:r w:rsidR="00731378" w:rsidRPr="00731378">
        <w:rPr>
          <w:color w:val="000000"/>
        </w:rPr>
        <w:t>НК РФ) п</w:t>
      </w:r>
      <w:r w:rsidR="00731378" w:rsidRPr="00731378"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color w:val="000000"/>
          <w:sz w:val="28"/>
          <w:szCs w:val="28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731378">
          <w:rPr>
            <w:color w:val="000000"/>
            <w:sz w:val="28"/>
            <w:szCs w:val="28"/>
          </w:rPr>
          <w:t>пункта 5</w:t>
        </w:r>
      </w:hyperlink>
      <w:r w:rsidRPr="00731378">
        <w:rPr>
          <w:color w:val="000000"/>
          <w:sz w:val="28"/>
          <w:szCs w:val="28"/>
        </w:rPr>
        <w:t xml:space="preserve"> статьи 421 НК РФ д</w:t>
      </w:r>
      <w:r w:rsidRPr="00731378">
        <w:rPr>
          <w:sz w:val="28"/>
          <w:szCs w:val="28"/>
        </w:rPr>
        <w:t xml:space="preserve">ля плательщиков, </w:t>
      </w:r>
      <w:r w:rsidRPr="00731378">
        <w:rPr>
          <w:color w:val="000000"/>
          <w:sz w:val="28"/>
          <w:szCs w:val="28"/>
        </w:rPr>
        <w:lastRenderedPageBreak/>
        <w:t>производящих выплаты и иные вознаграждения физическим лицам</w:t>
      </w:r>
      <w:r w:rsidRPr="00731378">
        <w:rPr>
          <w:sz w:val="28"/>
          <w:szCs w:val="28"/>
        </w:rPr>
        <w:t xml:space="preserve">, на период 2017-2021 годов предельная величина базы для исчисления страховых взносов на обязательное пенсионное страхование устанавливается с учетом определённого на соответствующий год размера средней заработной платы </w:t>
      </w:r>
      <w:r w:rsidR="00DF56D1">
        <w:rPr>
          <w:sz w:val="28"/>
          <w:szCs w:val="28"/>
        </w:rPr>
        <w:br/>
      </w:r>
      <w:r w:rsidRPr="00731378">
        <w:rPr>
          <w:sz w:val="28"/>
          <w:szCs w:val="28"/>
        </w:rPr>
        <w:t>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sz w:val="28"/>
          <w:szCs w:val="28"/>
        </w:rPr>
        <w:t>&gt; в 2017 году - 1,9;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sz w:val="28"/>
          <w:szCs w:val="28"/>
        </w:rPr>
        <w:t>&gt; в 2018 году - 2,0;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sz w:val="28"/>
          <w:szCs w:val="28"/>
        </w:rPr>
        <w:t>&gt; в 2019 году - 2,1;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sz w:val="28"/>
          <w:szCs w:val="28"/>
        </w:rPr>
        <w:t>&gt; в 2020 году - 2,2;</w:t>
      </w:r>
    </w:p>
    <w:p w:rsidR="00731378" w:rsidRPr="00731378" w:rsidRDefault="00731378" w:rsidP="007313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1378">
        <w:rPr>
          <w:sz w:val="28"/>
          <w:szCs w:val="28"/>
        </w:rPr>
        <w:t>&gt; в 2021 году - 2,3.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 xml:space="preserve"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2017 год и плановый период 2018 и 2019 годов номинальная начисленная среднемесячная заработная плата на одного работника в 2018 году составит 40 796 рублей. Аналогичный показатель заработной платы в 2017 году – 38 424 рубля. Таким образом, исходя из параметров прогнозных показателей, размер номинальной начисленной среднемесячной заработной платы на одного работника в 2018 году по сравнению с 2017 годом увеличится на 6,0 % (40 </w:t>
      </w:r>
      <w:proofErr w:type="gramStart"/>
      <w:r w:rsidRPr="00731378">
        <w:rPr>
          <w:color w:val="000000"/>
          <w:sz w:val="28"/>
          <w:szCs w:val="28"/>
        </w:rPr>
        <w:t>796 :</w:t>
      </w:r>
      <w:proofErr w:type="gramEnd"/>
      <w:r w:rsidRPr="00731378">
        <w:rPr>
          <w:color w:val="000000"/>
          <w:sz w:val="28"/>
          <w:szCs w:val="28"/>
        </w:rPr>
        <w:t xml:space="preserve"> 38 424 = 1,062).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bookmarkStart w:id="1" w:name="dfasgqn4gr"/>
      <w:bookmarkStart w:id="2" w:name="bssPhr17"/>
      <w:bookmarkStart w:id="3" w:name="vf101"/>
      <w:bookmarkEnd w:id="1"/>
      <w:bookmarkEnd w:id="2"/>
      <w:bookmarkEnd w:id="3"/>
      <w:r w:rsidRPr="00731378">
        <w:rPr>
          <w:color w:val="000000"/>
          <w:sz w:val="28"/>
          <w:szCs w:val="28"/>
        </w:rPr>
        <w:t>Учитывая установленную в 2017 году постановлением Правительства Российской Федерации от 29.11.2016 № 1255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755 000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2018 году с учётом указанной индексации составит: 755 000 х 1,062 = 801 810 рублей, с учётом округления – 802 000 рублей.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bookmarkStart w:id="4" w:name="dfas1zc4z7"/>
      <w:bookmarkStart w:id="5" w:name="bssPhr18"/>
      <w:bookmarkStart w:id="6" w:name="vf102"/>
      <w:bookmarkEnd w:id="4"/>
      <w:bookmarkEnd w:id="5"/>
      <w:bookmarkEnd w:id="6"/>
      <w:r w:rsidRPr="00731378"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2018 году с учетом повышающего коэффициента в размере 2,0 составит: 40 796 х 12 х 2,0 = 979 104 рубля, с учётом округления – 979 000 рублей.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>Согласно письму Министерства экономического развития Российской Федерации от 26.04.2017 № Д14и-917 «О разработке прогноза социально-экономического развития Российской Федерации на 2018 год и на плановый период 2019 и 2020 годов</w:t>
      </w:r>
      <w:proofErr w:type="gramStart"/>
      <w:r w:rsidRPr="00731378">
        <w:rPr>
          <w:color w:val="000000"/>
          <w:sz w:val="28"/>
          <w:szCs w:val="28"/>
        </w:rPr>
        <w:t>»</w:t>
      </w:r>
      <w:proofErr w:type="gramEnd"/>
      <w:r w:rsidRPr="00731378">
        <w:rPr>
          <w:color w:val="000000"/>
          <w:sz w:val="28"/>
          <w:szCs w:val="28"/>
        </w:rPr>
        <w:t xml:space="preserve"> номинальная начисленная среднемесячная заработная плата (далее по тексту – ННСЗП) на одного работника составит: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>- в 2018 году 41 394 рубля;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>- в 2019 году 43 606 рублей;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lastRenderedPageBreak/>
        <w:t xml:space="preserve">- в 2020 году 45 926 рублей. 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 xml:space="preserve">Аналогичный показатель заработной платы в 2017 году – 38 740 рублей. </w:t>
      </w:r>
    </w:p>
    <w:p w:rsidR="00731378" w:rsidRPr="00731378" w:rsidRDefault="00731378" w:rsidP="00731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378">
        <w:rPr>
          <w:rFonts w:eastAsia="Calibri"/>
          <w:sz w:val="28"/>
          <w:szCs w:val="28"/>
          <w:lang w:eastAsia="en-US"/>
        </w:rPr>
        <w:t xml:space="preserve">Кроме того, на 2020 год действует подпункт 1 пункта 2 статьи 425 НК РФ, где установлено, что тариф страхового взноса на обязательное пенсионное страхование в пределах установленной </w:t>
      </w:r>
      <w:hyperlink r:id="rId12" w:history="1">
        <w:r w:rsidRPr="00731378">
          <w:rPr>
            <w:rFonts w:eastAsia="Calibri"/>
            <w:sz w:val="28"/>
            <w:szCs w:val="28"/>
            <w:lang w:eastAsia="en-US"/>
          </w:rPr>
          <w:t>предельной величины</w:t>
        </w:r>
      </w:hyperlink>
      <w:r w:rsidRPr="00731378">
        <w:rPr>
          <w:rFonts w:eastAsia="Calibri"/>
          <w:sz w:val="28"/>
          <w:szCs w:val="28"/>
          <w:lang w:eastAsia="en-US"/>
        </w:rPr>
        <w:t xml:space="preserve"> базы для исчисления страховых взносов по данному виду страхования устанавливается в размере 26 %.</w:t>
      </w:r>
    </w:p>
    <w:p w:rsidR="00731378" w:rsidRDefault="00731378" w:rsidP="00731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378">
        <w:rPr>
          <w:rFonts w:eastAsia="Calibri"/>
          <w:sz w:val="28"/>
          <w:szCs w:val="28"/>
          <w:lang w:eastAsia="en-US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DF56D1" w:rsidRPr="002F6500" w:rsidRDefault="00DF56D1" w:rsidP="00731378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988"/>
        <w:gridCol w:w="1556"/>
        <w:gridCol w:w="2296"/>
      </w:tblGrid>
      <w:tr w:rsidR="00731378" w:rsidRPr="00731378" w:rsidTr="00DF56D1">
        <w:tc>
          <w:tcPr>
            <w:tcW w:w="3799" w:type="dxa"/>
            <w:vMerge w:val="restart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731378" w:rsidRPr="00411D41" w:rsidRDefault="00731378" w:rsidP="0073137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Запланированная база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Необходимо</w:t>
            </w:r>
          </w:p>
        </w:tc>
      </w:tr>
      <w:tr w:rsidR="00731378" w:rsidRPr="00731378" w:rsidTr="00DF56D1">
        <w:trPr>
          <w:trHeight w:val="353"/>
        </w:trPr>
        <w:tc>
          <w:tcPr>
            <w:tcW w:w="3799" w:type="dxa"/>
            <w:vMerge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color w:val="000000"/>
                <w:sz w:val="22"/>
                <w:szCs w:val="22"/>
              </w:rPr>
              <w:t>ННСЗП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база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894 000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41 394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993 000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913 000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43 606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1 099 000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933 000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45 926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1 212 000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770 000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41 394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806 000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786 000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43 606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849 000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803 000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45 926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894 000</w:t>
            </w:r>
          </w:p>
        </w:tc>
      </w:tr>
    </w:tbl>
    <w:p w:rsidR="00DF56D1" w:rsidRPr="002F6500" w:rsidRDefault="00DF56D1" w:rsidP="00731378">
      <w:pPr>
        <w:ind w:firstLine="709"/>
        <w:jc w:val="both"/>
        <w:rPr>
          <w:color w:val="000000"/>
          <w:sz w:val="18"/>
          <w:szCs w:val="18"/>
        </w:rPr>
      </w:pP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 xml:space="preserve">Проектом постановления Правительства Российской Федерации </w:t>
      </w:r>
      <w:r w:rsidR="00DF56D1">
        <w:rPr>
          <w:color w:val="000000"/>
          <w:sz w:val="28"/>
          <w:szCs w:val="28"/>
        </w:rPr>
        <w:br/>
      </w:r>
      <w:r w:rsidRPr="00731378">
        <w:rPr>
          <w:color w:val="000000"/>
          <w:sz w:val="28"/>
          <w:szCs w:val="28"/>
        </w:rPr>
        <w:t>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определена предельная величина базы для исчисления страховых взносов на: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 xml:space="preserve">- обязательное социальное страхование на случай временной нетрудоспособности и в связи с материнством 815 000 рублей; </w:t>
      </w:r>
    </w:p>
    <w:p w:rsidR="00731378" w:rsidRPr="00731378" w:rsidRDefault="00731378" w:rsidP="00731378">
      <w:pPr>
        <w:ind w:firstLine="709"/>
        <w:jc w:val="both"/>
        <w:rPr>
          <w:color w:val="000000"/>
          <w:sz w:val="28"/>
          <w:szCs w:val="28"/>
        </w:rPr>
      </w:pPr>
      <w:r w:rsidRPr="00731378">
        <w:rPr>
          <w:color w:val="000000"/>
          <w:sz w:val="28"/>
          <w:szCs w:val="28"/>
        </w:rPr>
        <w:t>-   обязательное пенсионное страхование 1 021 000 рублей.</w:t>
      </w:r>
    </w:p>
    <w:p w:rsidR="00731378" w:rsidRPr="00731378" w:rsidRDefault="00731378" w:rsidP="00731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378">
        <w:rPr>
          <w:color w:val="000000"/>
          <w:sz w:val="28"/>
          <w:szCs w:val="28"/>
        </w:rPr>
        <w:t>С учётов вышеуказанного проекта</w:t>
      </w:r>
      <w:r w:rsidRPr="00731378">
        <w:rPr>
          <w:rFonts w:eastAsia="Calibri"/>
          <w:sz w:val="28"/>
          <w:szCs w:val="28"/>
          <w:lang w:eastAsia="en-US"/>
        </w:rPr>
        <w:t xml:space="preserve"> необходимо включить в расчёт начислений на фонд оплаты труда на очередной финансовый год и плановый период:</w:t>
      </w:r>
    </w:p>
    <w:p w:rsidR="00731378" w:rsidRPr="002F6500" w:rsidRDefault="00731378" w:rsidP="00731378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988"/>
        <w:gridCol w:w="1556"/>
        <w:gridCol w:w="2296"/>
      </w:tblGrid>
      <w:tr w:rsidR="00731378" w:rsidRPr="00731378" w:rsidTr="00DF56D1">
        <w:tc>
          <w:tcPr>
            <w:tcW w:w="3799" w:type="dxa"/>
            <w:vMerge w:val="restart"/>
            <w:shd w:val="clear" w:color="auto" w:fill="auto"/>
            <w:vAlign w:val="center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731378" w:rsidRPr="00411D41" w:rsidRDefault="00731378" w:rsidP="0073137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Запланированная база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Необходимо</w:t>
            </w:r>
          </w:p>
        </w:tc>
      </w:tr>
      <w:tr w:rsidR="00731378" w:rsidRPr="00731378" w:rsidTr="002F6500">
        <w:trPr>
          <w:trHeight w:val="81"/>
        </w:trPr>
        <w:tc>
          <w:tcPr>
            <w:tcW w:w="3799" w:type="dxa"/>
            <w:vMerge/>
            <w:shd w:val="clear" w:color="auto" w:fill="auto"/>
            <w:vAlign w:val="center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color w:val="000000"/>
                <w:sz w:val="22"/>
                <w:szCs w:val="22"/>
              </w:rPr>
              <w:t>ННСЗП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31378" w:rsidRPr="00411D41" w:rsidRDefault="00731378" w:rsidP="007313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база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894 000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42 522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1 021</w:t>
            </w:r>
            <w:r w:rsidRPr="00411D41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913 000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43 606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1 099 000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933 000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45 926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1 212 000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770 000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411D4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522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  <w:r w:rsidRPr="00411D41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786 000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43 606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35</w:t>
            </w:r>
            <w:r w:rsidRPr="00411D41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731378" w:rsidRPr="00731378" w:rsidTr="00DF56D1">
        <w:tc>
          <w:tcPr>
            <w:tcW w:w="3799" w:type="dxa"/>
            <w:shd w:val="clear" w:color="auto" w:fill="auto"/>
          </w:tcPr>
          <w:p w:rsidR="00731378" w:rsidRPr="00411D41" w:rsidRDefault="00731378" w:rsidP="007313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88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803 000</w:t>
            </w:r>
          </w:p>
        </w:tc>
        <w:tc>
          <w:tcPr>
            <w:tcW w:w="155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45 926</w:t>
            </w:r>
          </w:p>
        </w:tc>
        <w:tc>
          <w:tcPr>
            <w:tcW w:w="2296" w:type="dxa"/>
            <w:shd w:val="clear" w:color="auto" w:fill="auto"/>
          </w:tcPr>
          <w:p w:rsidR="00731378" w:rsidRPr="00411D41" w:rsidRDefault="00731378" w:rsidP="0073137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11D41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11D41">
              <w:rPr>
                <w:rFonts w:eastAsia="Calibri"/>
                <w:sz w:val="22"/>
                <w:szCs w:val="22"/>
                <w:lang w:val="en-US" w:eastAsia="en-US"/>
              </w:rPr>
              <w:t>79</w:t>
            </w:r>
            <w:r w:rsidRPr="00411D41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</w:tbl>
    <w:p w:rsidR="00F00C12" w:rsidRPr="00DF56D1" w:rsidRDefault="00DF56D1" w:rsidP="00F00C12">
      <w:pPr>
        <w:ind w:firstLine="709"/>
        <w:jc w:val="both"/>
        <w:rPr>
          <w:sz w:val="28"/>
          <w:szCs w:val="28"/>
        </w:rPr>
      </w:pPr>
      <w:r w:rsidRPr="00DF56D1">
        <w:rPr>
          <w:sz w:val="28"/>
          <w:szCs w:val="28"/>
        </w:rPr>
        <w:t>3</w:t>
      </w:r>
      <w:r w:rsidR="00F00C12" w:rsidRPr="00DF56D1">
        <w:rPr>
          <w:sz w:val="28"/>
          <w:szCs w:val="28"/>
        </w:rPr>
        <w:t xml:space="preserve">. Предоставленный проект изменений соответствует Порядку принятия решений о разработке муниципальных программ города Нефтеюганска, </w:t>
      </w:r>
      <w:r w:rsidR="003C6B10">
        <w:rPr>
          <w:sz w:val="28"/>
          <w:szCs w:val="28"/>
        </w:rPr>
        <w:br/>
      </w:r>
      <w:r w:rsidR="00F00C12" w:rsidRPr="00DF56D1">
        <w:rPr>
          <w:sz w:val="28"/>
          <w:szCs w:val="28"/>
        </w:rPr>
        <w:t>их формирования и реализации, утвержд</w:t>
      </w:r>
      <w:r w:rsidR="00F01AF8" w:rsidRPr="00DF56D1">
        <w:rPr>
          <w:sz w:val="28"/>
          <w:szCs w:val="28"/>
        </w:rPr>
        <w:t>ё</w:t>
      </w:r>
      <w:r w:rsidR="00F00C12" w:rsidRPr="00DF56D1">
        <w:rPr>
          <w:sz w:val="28"/>
          <w:szCs w:val="28"/>
        </w:rPr>
        <w:t xml:space="preserve">нному постановлением администрации города Нефтеюганска от 22.08.2013 № 80-нп. </w:t>
      </w:r>
    </w:p>
    <w:p w:rsidR="00F00C12" w:rsidRDefault="00DF56D1" w:rsidP="00DF56D1">
      <w:pPr>
        <w:ind w:firstLine="709"/>
        <w:jc w:val="both"/>
        <w:rPr>
          <w:sz w:val="28"/>
          <w:szCs w:val="28"/>
        </w:rPr>
      </w:pPr>
      <w:r w:rsidRPr="00DF56D1">
        <w:rPr>
          <w:sz w:val="28"/>
          <w:szCs w:val="28"/>
        </w:rPr>
        <w:lastRenderedPageBreak/>
        <w:t>4</w:t>
      </w:r>
      <w:r w:rsidR="00F00C12" w:rsidRPr="00DF56D1">
        <w:rPr>
          <w:sz w:val="28"/>
          <w:szCs w:val="28"/>
        </w:rPr>
        <w:t>. Финансовые показатели, содержащиеся в проекте программы, в целом соответствуют расчётам, предоставленным на экспертизу</w:t>
      </w:r>
      <w:r w:rsidR="00235C77">
        <w:rPr>
          <w:sz w:val="28"/>
          <w:szCs w:val="28"/>
        </w:rPr>
        <w:t xml:space="preserve">, за исключением планируемых затрат на обеспечение функций комитета культуры и туризма </w:t>
      </w:r>
      <w:r w:rsidR="00235C77">
        <w:rPr>
          <w:sz w:val="28"/>
          <w:szCs w:val="28"/>
        </w:rPr>
        <w:br/>
        <w:t>с учётом нормирования</w:t>
      </w:r>
      <w:r>
        <w:rPr>
          <w:sz w:val="28"/>
          <w:szCs w:val="28"/>
        </w:rPr>
        <w:t>.</w:t>
      </w:r>
      <w:r w:rsidR="00F00C12" w:rsidRPr="00DF56D1">
        <w:rPr>
          <w:sz w:val="28"/>
          <w:szCs w:val="28"/>
        </w:rPr>
        <w:t xml:space="preserve"> </w:t>
      </w:r>
    </w:p>
    <w:p w:rsidR="00DF56D1" w:rsidRDefault="00DF56D1" w:rsidP="00DF5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DF56D1" w:rsidRDefault="008511ED" w:rsidP="00851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11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11ED">
        <w:rPr>
          <w:sz w:val="28"/>
          <w:szCs w:val="28"/>
        </w:rPr>
        <w:t xml:space="preserve"> рамках реализации мероприятия «Развитие дополнительного образования в сфере культуры»</w:t>
      </w:r>
      <w:r>
        <w:rPr>
          <w:sz w:val="28"/>
          <w:szCs w:val="28"/>
        </w:rPr>
        <w:t xml:space="preserve"> запланирован излишний объём финансирования за счёт средств автономного округа;</w:t>
      </w:r>
    </w:p>
    <w:p w:rsidR="008511ED" w:rsidRDefault="008511ED" w:rsidP="00851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</w:t>
      </w:r>
      <w:r w:rsidR="0077575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 xml:space="preserve">основным исполнителем </w:t>
      </w:r>
      <w:r w:rsidR="0077575E">
        <w:rPr>
          <w:sz w:val="28"/>
          <w:szCs w:val="28"/>
        </w:rPr>
        <w:t xml:space="preserve">– комитетом культуры и туризма </w:t>
      </w:r>
      <w:r>
        <w:rPr>
          <w:sz w:val="28"/>
          <w:szCs w:val="28"/>
        </w:rPr>
        <w:t>запланирован б</w:t>
      </w:r>
      <w:r w:rsidR="00627ECF">
        <w:rPr>
          <w:sz w:val="28"/>
          <w:szCs w:val="28"/>
        </w:rPr>
        <w:t>ез учёта начислени</w:t>
      </w:r>
      <w:r>
        <w:rPr>
          <w:sz w:val="28"/>
          <w:szCs w:val="28"/>
        </w:rPr>
        <w:t xml:space="preserve">й </w:t>
      </w:r>
      <w:r w:rsidR="00627ECF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амортизации;</w:t>
      </w:r>
    </w:p>
    <w:p w:rsidR="008511ED" w:rsidRDefault="008511ED" w:rsidP="00851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EE119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E1193">
        <w:rPr>
          <w:sz w:val="28"/>
          <w:szCs w:val="28"/>
        </w:rPr>
        <w:t xml:space="preserve"> от 05.07.2016 № 137-нп</w:t>
      </w:r>
      <w:r>
        <w:rPr>
          <w:sz w:val="28"/>
          <w:szCs w:val="28"/>
        </w:rPr>
        <w:t xml:space="preserve">, не утверждены нормативные затраты на </w:t>
      </w:r>
      <w:r w:rsidR="0077575E">
        <w:rPr>
          <w:sz w:val="28"/>
          <w:szCs w:val="28"/>
        </w:rPr>
        <w:t>обеспечение функций комитета культуры и туризма администрации города Нефтеюганска на 2018</w:t>
      </w:r>
      <w:r>
        <w:rPr>
          <w:sz w:val="28"/>
          <w:szCs w:val="28"/>
        </w:rPr>
        <w:t xml:space="preserve"> год</w:t>
      </w:r>
      <w:r w:rsidR="0077575E">
        <w:rPr>
          <w:sz w:val="28"/>
          <w:szCs w:val="28"/>
        </w:rPr>
        <w:t>;</w:t>
      </w:r>
    </w:p>
    <w:p w:rsidR="008511ED" w:rsidRPr="008511ED" w:rsidRDefault="008511ED" w:rsidP="008511ED">
      <w:pPr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 xml:space="preserve">ри расчёте страховых взносов на 2018-2020 годы не учтены положения </w:t>
      </w:r>
      <w:r>
        <w:rPr>
          <w:sz w:val="28"/>
          <w:szCs w:val="28"/>
        </w:rPr>
        <w:t>пунктов</w:t>
      </w:r>
      <w:r w:rsidRPr="00481989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Pr="004819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Pr="00481989">
        <w:rPr>
          <w:color w:val="000000"/>
          <w:sz w:val="28"/>
          <w:szCs w:val="28"/>
        </w:rPr>
        <w:t> 421 Н</w:t>
      </w:r>
      <w:r>
        <w:rPr>
          <w:color w:val="000000"/>
          <w:sz w:val="28"/>
          <w:szCs w:val="28"/>
        </w:rPr>
        <w:t>К РФ</w:t>
      </w:r>
      <w:r w:rsidR="0077575E">
        <w:rPr>
          <w:color w:val="000000"/>
          <w:sz w:val="28"/>
          <w:szCs w:val="28"/>
        </w:rPr>
        <w:t xml:space="preserve">. </w:t>
      </w:r>
    </w:p>
    <w:p w:rsidR="009A4ABE" w:rsidRDefault="009A4ABE" w:rsidP="009A4AB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9A4ABE" w:rsidRDefault="0077575E" w:rsidP="009A4A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A4ABE" w:rsidRPr="005D48BD">
        <w:rPr>
          <w:sz w:val="28"/>
          <w:szCs w:val="28"/>
        </w:rPr>
        <w:t>злишне запланированные межбюджетные трансферты вернуть в бюджет автономного округа после внесённых корректировок и уточнения бюджетных ассигнований</w:t>
      </w:r>
      <w:r>
        <w:rPr>
          <w:sz w:val="28"/>
          <w:szCs w:val="28"/>
        </w:rPr>
        <w:t>;</w:t>
      </w:r>
    </w:p>
    <w:p w:rsidR="008511ED" w:rsidRDefault="0077575E" w:rsidP="009A4A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1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511ED">
        <w:rPr>
          <w:sz w:val="28"/>
          <w:szCs w:val="28"/>
        </w:rPr>
        <w:t xml:space="preserve">редства на уплату имущественного налога в 2019-2020 годах </w:t>
      </w:r>
      <w:r w:rsidR="005662F4">
        <w:rPr>
          <w:sz w:val="28"/>
          <w:szCs w:val="28"/>
        </w:rPr>
        <w:t>предусмотреть</w:t>
      </w:r>
      <w:r w:rsidR="008511ED">
        <w:rPr>
          <w:sz w:val="28"/>
          <w:szCs w:val="28"/>
        </w:rPr>
        <w:t xml:space="preserve"> с учётом расчёта планируемой суммы начисленной амортизации</w:t>
      </w:r>
      <w:r>
        <w:rPr>
          <w:sz w:val="28"/>
          <w:szCs w:val="28"/>
        </w:rPr>
        <w:t>;</w:t>
      </w:r>
    </w:p>
    <w:p w:rsidR="008511ED" w:rsidRPr="005D48BD" w:rsidRDefault="0077575E" w:rsidP="009A4A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1ED">
        <w:rPr>
          <w:sz w:val="28"/>
          <w:szCs w:val="28"/>
        </w:rPr>
        <w:t xml:space="preserve"> </w:t>
      </w:r>
      <w:r w:rsidR="00213AAC">
        <w:rPr>
          <w:sz w:val="28"/>
          <w:szCs w:val="28"/>
        </w:rPr>
        <w:t>утвердить нормативные затраты на обеспечение функций комитета культуры и туризма администрации города Нефтеюганска на 2018 год</w:t>
      </w:r>
      <w:r w:rsidR="003C6B10">
        <w:rPr>
          <w:sz w:val="28"/>
          <w:szCs w:val="28"/>
        </w:rPr>
        <w:t xml:space="preserve"> и направить в адрес Счётной палаты к проекту бюджета на 2018 год и плановый период</w:t>
      </w:r>
      <w:r w:rsidR="00213AAC">
        <w:rPr>
          <w:sz w:val="28"/>
          <w:szCs w:val="28"/>
        </w:rPr>
        <w:t>;</w:t>
      </w:r>
    </w:p>
    <w:p w:rsidR="009A4ABE" w:rsidRDefault="005662F4" w:rsidP="009A4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A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A4ABE">
        <w:rPr>
          <w:sz w:val="28"/>
          <w:szCs w:val="28"/>
        </w:rPr>
        <w:t>ценить мероприятие в части обоснованности планируемых бюджетных ассигнований на оплату страховых взносов.</w:t>
      </w:r>
    </w:p>
    <w:p w:rsidR="009A4ABE" w:rsidRPr="009A4ABE" w:rsidRDefault="009A4ABE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</w:t>
      </w:r>
      <w:r w:rsidR="00213AAC">
        <w:rPr>
          <w:sz w:val="28"/>
          <w:szCs w:val="28"/>
        </w:rPr>
        <w:br/>
      </w:r>
      <w:r>
        <w:rPr>
          <w:sz w:val="28"/>
          <w:szCs w:val="28"/>
        </w:rPr>
        <w:t xml:space="preserve">на утверждение с учётом рекомендаций, отражённых в настоящем заключении. </w:t>
      </w:r>
    </w:p>
    <w:p w:rsidR="00F00C12" w:rsidRPr="009A4ABE" w:rsidRDefault="008B7ECB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A4ABE">
        <w:rPr>
          <w:sz w:val="28"/>
          <w:szCs w:val="28"/>
        </w:rPr>
        <w:t>Просим в срок до 20</w:t>
      </w:r>
      <w:r w:rsidR="00F00C12" w:rsidRPr="009A4ABE">
        <w:rPr>
          <w:sz w:val="28"/>
          <w:szCs w:val="28"/>
        </w:rPr>
        <w:t>.10.2017 года уведомить о принятом решении в части исполнения рекомендаций, отражённых в настоящем заключении.</w:t>
      </w:r>
    </w:p>
    <w:p w:rsidR="00F00C12" w:rsidRDefault="00F00C12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2F6500" w:rsidRDefault="002F6500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</w:t>
      </w:r>
      <w:r w:rsidR="006D5DF4">
        <w:rPr>
          <w:sz w:val="28"/>
          <w:szCs w:val="28"/>
        </w:rPr>
        <w:t xml:space="preserve">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593B71" w:rsidRDefault="00593B7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1D41" w:rsidRDefault="00411D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6D5DF4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Татаринова Ольга Анатольевна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20-30-54</w:t>
      </w:r>
    </w:p>
    <w:sectPr w:rsidR="006E5BE8" w:rsidRPr="00183437" w:rsidSect="00DF5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C9" w:rsidRDefault="00A75EC9" w:rsidP="00E675E9">
      <w:r>
        <w:separator/>
      </w:r>
    </w:p>
  </w:endnote>
  <w:endnote w:type="continuationSeparator" w:id="0">
    <w:p w:rsidR="00A75EC9" w:rsidRDefault="00A75EC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C9" w:rsidRDefault="00A75EC9" w:rsidP="00E675E9">
      <w:r>
        <w:separator/>
      </w:r>
    </w:p>
  </w:footnote>
  <w:footnote w:type="continuationSeparator" w:id="0">
    <w:p w:rsidR="00A75EC9" w:rsidRDefault="00A75EC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68" w:rsidRDefault="004B1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220D3"/>
    <w:rsid w:val="000272F1"/>
    <w:rsid w:val="00031D0F"/>
    <w:rsid w:val="0004298C"/>
    <w:rsid w:val="00045F0A"/>
    <w:rsid w:val="0004683F"/>
    <w:rsid w:val="00052A11"/>
    <w:rsid w:val="000531C3"/>
    <w:rsid w:val="00060A07"/>
    <w:rsid w:val="00061415"/>
    <w:rsid w:val="00063375"/>
    <w:rsid w:val="00064498"/>
    <w:rsid w:val="00072545"/>
    <w:rsid w:val="00074E19"/>
    <w:rsid w:val="000844FC"/>
    <w:rsid w:val="0009267E"/>
    <w:rsid w:val="0009792F"/>
    <w:rsid w:val="000979A4"/>
    <w:rsid w:val="000A605B"/>
    <w:rsid w:val="000B1D28"/>
    <w:rsid w:val="000B3D67"/>
    <w:rsid w:val="000C02A8"/>
    <w:rsid w:val="000C2342"/>
    <w:rsid w:val="000C2459"/>
    <w:rsid w:val="000D4153"/>
    <w:rsid w:val="000D6094"/>
    <w:rsid w:val="000D79D3"/>
    <w:rsid w:val="000E2F74"/>
    <w:rsid w:val="000E5509"/>
    <w:rsid w:val="000E5666"/>
    <w:rsid w:val="000E6B34"/>
    <w:rsid w:val="000F17C3"/>
    <w:rsid w:val="000F61BE"/>
    <w:rsid w:val="0010194A"/>
    <w:rsid w:val="001039E0"/>
    <w:rsid w:val="00113D1C"/>
    <w:rsid w:val="00125398"/>
    <w:rsid w:val="00126159"/>
    <w:rsid w:val="00131E48"/>
    <w:rsid w:val="00131F99"/>
    <w:rsid w:val="00133582"/>
    <w:rsid w:val="00137DBC"/>
    <w:rsid w:val="00141DD0"/>
    <w:rsid w:val="001522E1"/>
    <w:rsid w:val="0015548E"/>
    <w:rsid w:val="00157641"/>
    <w:rsid w:val="00161D40"/>
    <w:rsid w:val="001624DE"/>
    <w:rsid w:val="00165054"/>
    <w:rsid w:val="00165CAE"/>
    <w:rsid w:val="001726C5"/>
    <w:rsid w:val="00183437"/>
    <w:rsid w:val="00186F43"/>
    <w:rsid w:val="0019271D"/>
    <w:rsid w:val="0019315C"/>
    <w:rsid w:val="00196209"/>
    <w:rsid w:val="001A519F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115D"/>
    <w:rsid w:val="00201153"/>
    <w:rsid w:val="00205969"/>
    <w:rsid w:val="00211721"/>
    <w:rsid w:val="00213AAC"/>
    <w:rsid w:val="00215E39"/>
    <w:rsid w:val="00221D30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6003"/>
    <w:rsid w:val="00276824"/>
    <w:rsid w:val="00283894"/>
    <w:rsid w:val="002905DE"/>
    <w:rsid w:val="002923CE"/>
    <w:rsid w:val="00292BEA"/>
    <w:rsid w:val="002A20A8"/>
    <w:rsid w:val="002B0615"/>
    <w:rsid w:val="002B3557"/>
    <w:rsid w:val="002C1AB7"/>
    <w:rsid w:val="002C283B"/>
    <w:rsid w:val="002C3897"/>
    <w:rsid w:val="002C3A73"/>
    <w:rsid w:val="002C64E2"/>
    <w:rsid w:val="002C682B"/>
    <w:rsid w:val="002D7290"/>
    <w:rsid w:val="002E01AA"/>
    <w:rsid w:val="002E0EE9"/>
    <w:rsid w:val="002E13A2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2088"/>
    <w:rsid w:val="003B7133"/>
    <w:rsid w:val="003B7CB1"/>
    <w:rsid w:val="003B7E71"/>
    <w:rsid w:val="003C0E5B"/>
    <w:rsid w:val="003C6B10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10729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538E6"/>
    <w:rsid w:val="00465935"/>
    <w:rsid w:val="00466049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4D1E"/>
    <w:rsid w:val="004B5F9B"/>
    <w:rsid w:val="004C10E0"/>
    <w:rsid w:val="004C4FEF"/>
    <w:rsid w:val="004D002A"/>
    <w:rsid w:val="004D5891"/>
    <w:rsid w:val="004E162F"/>
    <w:rsid w:val="004E40E6"/>
    <w:rsid w:val="004E443E"/>
    <w:rsid w:val="004E7B9B"/>
    <w:rsid w:val="004F04B1"/>
    <w:rsid w:val="00500383"/>
    <w:rsid w:val="00502530"/>
    <w:rsid w:val="00503597"/>
    <w:rsid w:val="00510A44"/>
    <w:rsid w:val="00514CA1"/>
    <w:rsid w:val="00515163"/>
    <w:rsid w:val="00521B6D"/>
    <w:rsid w:val="00523F84"/>
    <w:rsid w:val="00532035"/>
    <w:rsid w:val="00534C28"/>
    <w:rsid w:val="005452D0"/>
    <w:rsid w:val="005470D6"/>
    <w:rsid w:val="0055102E"/>
    <w:rsid w:val="00551510"/>
    <w:rsid w:val="0055155F"/>
    <w:rsid w:val="005542A0"/>
    <w:rsid w:val="005614CE"/>
    <w:rsid w:val="0056589E"/>
    <w:rsid w:val="005662F4"/>
    <w:rsid w:val="005665D5"/>
    <w:rsid w:val="0057080B"/>
    <w:rsid w:val="00573603"/>
    <w:rsid w:val="00576477"/>
    <w:rsid w:val="005801D4"/>
    <w:rsid w:val="00580742"/>
    <w:rsid w:val="005813E6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2E33"/>
    <w:rsid w:val="00603B57"/>
    <w:rsid w:val="00605E71"/>
    <w:rsid w:val="00615BD6"/>
    <w:rsid w:val="00616EBD"/>
    <w:rsid w:val="00624111"/>
    <w:rsid w:val="00624245"/>
    <w:rsid w:val="006249B1"/>
    <w:rsid w:val="00625C32"/>
    <w:rsid w:val="00625E24"/>
    <w:rsid w:val="00627ECF"/>
    <w:rsid w:val="00631C06"/>
    <w:rsid w:val="006322BC"/>
    <w:rsid w:val="00641262"/>
    <w:rsid w:val="00641A82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517"/>
    <w:rsid w:val="006C3ED6"/>
    <w:rsid w:val="006C6EB4"/>
    <w:rsid w:val="006C7ABC"/>
    <w:rsid w:val="006D5DF4"/>
    <w:rsid w:val="006D6A01"/>
    <w:rsid w:val="006E1426"/>
    <w:rsid w:val="006E5BE8"/>
    <w:rsid w:val="006E7920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1F60"/>
    <w:rsid w:val="007A39F0"/>
    <w:rsid w:val="007A6C67"/>
    <w:rsid w:val="007A75F7"/>
    <w:rsid w:val="007B0187"/>
    <w:rsid w:val="007B4617"/>
    <w:rsid w:val="007B4F48"/>
    <w:rsid w:val="007C391B"/>
    <w:rsid w:val="007C4790"/>
    <w:rsid w:val="007D01AC"/>
    <w:rsid w:val="007D4892"/>
    <w:rsid w:val="007D7EFA"/>
    <w:rsid w:val="007E22F2"/>
    <w:rsid w:val="007E41A8"/>
    <w:rsid w:val="007E43F0"/>
    <w:rsid w:val="007E538A"/>
    <w:rsid w:val="007E5CE0"/>
    <w:rsid w:val="007F1978"/>
    <w:rsid w:val="007F50A7"/>
    <w:rsid w:val="007F64EE"/>
    <w:rsid w:val="00801CD3"/>
    <w:rsid w:val="00801D42"/>
    <w:rsid w:val="00805642"/>
    <w:rsid w:val="00805DD9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339B3"/>
    <w:rsid w:val="00835C78"/>
    <w:rsid w:val="008367F3"/>
    <w:rsid w:val="00837B9A"/>
    <w:rsid w:val="00840C31"/>
    <w:rsid w:val="008448F0"/>
    <w:rsid w:val="00845438"/>
    <w:rsid w:val="00850311"/>
    <w:rsid w:val="008511ED"/>
    <w:rsid w:val="008539B1"/>
    <w:rsid w:val="00853C5F"/>
    <w:rsid w:val="00854804"/>
    <w:rsid w:val="00855E6E"/>
    <w:rsid w:val="00860834"/>
    <w:rsid w:val="00862110"/>
    <w:rsid w:val="00863867"/>
    <w:rsid w:val="00864F6E"/>
    <w:rsid w:val="00871AA2"/>
    <w:rsid w:val="008844CD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40CC"/>
    <w:rsid w:val="008E6473"/>
    <w:rsid w:val="008F1F21"/>
    <w:rsid w:val="008F736F"/>
    <w:rsid w:val="009077C1"/>
    <w:rsid w:val="009105C6"/>
    <w:rsid w:val="00913842"/>
    <w:rsid w:val="00921A05"/>
    <w:rsid w:val="0092204E"/>
    <w:rsid w:val="0092749C"/>
    <w:rsid w:val="00930BAD"/>
    <w:rsid w:val="00933285"/>
    <w:rsid w:val="00944682"/>
    <w:rsid w:val="009449CC"/>
    <w:rsid w:val="00945C2A"/>
    <w:rsid w:val="00955194"/>
    <w:rsid w:val="009602C1"/>
    <w:rsid w:val="00961661"/>
    <w:rsid w:val="009623AB"/>
    <w:rsid w:val="00964216"/>
    <w:rsid w:val="009679C4"/>
    <w:rsid w:val="009701AB"/>
    <w:rsid w:val="0097245E"/>
    <w:rsid w:val="00973E88"/>
    <w:rsid w:val="00984065"/>
    <w:rsid w:val="0098428C"/>
    <w:rsid w:val="00984925"/>
    <w:rsid w:val="0098753A"/>
    <w:rsid w:val="00990100"/>
    <w:rsid w:val="00993659"/>
    <w:rsid w:val="0099581B"/>
    <w:rsid w:val="00996E17"/>
    <w:rsid w:val="0099716E"/>
    <w:rsid w:val="009A1536"/>
    <w:rsid w:val="009A4ABE"/>
    <w:rsid w:val="009A4BAC"/>
    <w:rsid w:val="009B12A4"/>
    <w:rsid w:val="009B3A51"/>
    <w:rsid w:val="009B69FB"/>
    <w:rsid w:val="009C62A5"/>
    <w:rsid w:val="009C6BEF"/>
    <w:rsid w:val="009D185A"/>
    <w:rsid w:val="009D7EB0"/>
    <w:rsid w:val="009E32F1"/>
    <w:rsid w:val="009E67C1"/>
    <w:rsid w:val="009F2E0F"/>
    <w:rsid w:val="009F572E"/>
    <w:rsid w:val="009F7E9D"/>
    <w:rsid w:val="009F7EC7"/>
    <w:rsid w:val="00A052F8"/>
    <w:rsid w:val="00A107F4"/>
    <w:rsid w:val="00A14B66"/>
    <w:rsid w:val="00A1572C"/>
    <w:rsid w:val="00A203EF"/>
    <w:rsid w:val="00A2040F"/>
    <w:rsid w:val="00A207D3"/>
    <w:rsid w:val="00A2366E"/>
    <w:rsid w:val="00A27443"/>
    <w:rsid w:val="00A36CFB"/>
    <w:rsid w:val="00A45456"/>
    <w:rsid w:val="00A53712"/>
    <w:rsid w:val="00A560A6"/>
    <w:rsid w:val="00A57E3B"/>
    <w:rsid w:val="00A62899"/>
    <w:rsid w:val="00A64F59"/>
    <w:rsid w:val="00A67657"/>
    <w:rsid w:val="00A676DF"/>
    <w:rsid w:val="00A7081A"/>
    <w:rsid w:val="00A718D8"/>
    <w:rsid w:val="00A75EC9"/>
    <w:rsid w:val="00A768C4"/>
    <w:rsid w:val="00A929C1"/>
    <w:rsid w:val="00AA1747"/>
    <w:rsid w:val="00AA7CC0"/>
    <w:rsid w:val="00AC08DD"/>
    <w:rsid w:val="00AC0B46"/>
    <w:rsid w:val="00AC38F2"/>
    <w:rsid w:val="00AC6969"/>
    <w:rsid w:val="00AD068E"/>
    <w:rsid w:val="00AD4BBA"/>
    <w:rsid w:val="00AD67A0"/>
    <w:rsid w:val="00AE1137"/>
    <w:rsid w:val="00AE2552"/>
    <w:rsid w:val="00AE5A44"/>
    <w:rsid w:val="00AE69D3"/>
    <w:rsid w:val="00AF2694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81418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5927"/>
    <w:rsid w:val="00BE0DBC"/>
    <w:rsid w:val="00BE5D31"/>
    <w:rsid w:val="00BE712C"/>
    <w:rsid w:val="00BF1483"/>
    <w:rsid w:val="00BF1A29"/>
    <w:rsid w:val="00BF6220"/>
    <w:rsid w:val="00BF70A3"/>
    <w:rsid w:val="00C03687"/>
    <w:rsid w:val="00C05D95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51F4"/>
    <w:rsid w:val="00C47CD8"/>
    <w:rsid w:val="00C54044"/>
    <w:rsid w:val="00C57001"/>
    <w:rsid w:val="00C64AF3"/>
    <w:rsid w:val="00C72096"/>
    <w:rsid w:val="00C756E0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2AC8"/>
    <w:rsid w:val="00D06497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30D6B"/>
    <w:rsid w:val="00D315D0"/>
    <w:rsid w:val="00D3554E"/>
    <w:rsid w:val="00D41E34"/>
    <w:rsid w:val="00D43054"/>
    <w:rsid w:val="00D431EC"/>
    <w:rsid w:val="00D56055"/>
    <w:rsid w:val="00D6144D"/>
    <w:rsid w:val="00D63672"/>
    <w:rsid w:val="00D6796B"/>
    <w:rsid w:val="00D70AA0"/>
    <w:rsid w:val="00D73938"/>
    <w:rsid w:val="00D7465E"/>
    <w:rsid w:val="00D7506D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464A"/>
    <w:rsid w:val="00DF0332"/>
    <w:rsid w:val="00DF1D7C"/>
    <w:rsid w:val="00DF56D1"/>
    <w:rsid w:val="00E00647"/>
    <w:rsid w:val="00E03BDE"/>
    <w:rsid w:val="00E05E98"/>
    <w:rsid w:val="00E14997"/>
    <w:rsid w:val="00E156A6"/>
    <w:rsid w:val="00E2164A"/>
    <w:rsid w:val="00E23055"/>
    <w:rsid w:val="00E24370"/>
    <w:rsid w:val="00E26B61"/>
    <w:rsid w:val="00E31050"/>
    <w:rsid w:val="00E31687"/>
    <w:rsid w:val="00E33DFE"/>
    <w:rsid w:val="00E355A9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5B66"/>
    <w:rsid w:val="00E675E9"/>
    <w:rsid w:val="00E725BF"/>
    <w:rsid w:val="00E734FE"/>
    <w:rsid w:val="00E8480F"/>
    <w:rsid w:val="00E869DD"/>
    <w:rsid w:val="00E971C5"/>
    <w:rsid w:val="00EA066E"/>
    <w:rsid w:val="00EA38F2"/>
    <w:rsid w:val="00EA3E17"/>
    <w:rsid w:val="00EA418A"/>
    <w:rsid w:val="00EA6D32"/>
    <w:rsid w:val="00EB339E"/>
    <w:rsid w:val="00EC09D3"/>
    <w:rsid w:val="00EC172B"/>
    <w:rsid w:val="00EC70B3"/>
    <w:rsid w:val="00ED1848"/>
    <w:rsid w:val="00ED1A8B"/>
    <w:rsid w:val="00ED61C9"/>
    <w:rsid w:val="00EE2F30"/>
    <w:rsid w:val="00EE5013"/>
    <w:rsid w:val="00EE6746"/>
    <w:rsid w:val="00EE7902"/>
    <w:rsid w:val="00EF31B9"/>
    <w:rsid w:val="00F008DD"/>
    <w:rsid w:val="00F00B9D"/>
    <w:rsid w:val="00F00C12"/>
    <w:rsid w:val="00F01AF8"/>
    <w:rsid w:val="00F06A21"/>
    <w:rsid w:val="00F1315E"/>
    <w:rsid w:val="00F16A1B"/>
    <w:rsid w:val="00F17070"/>
    <w:rsid w:val="00F24207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DF1"/>
    <w:rsid w:val="00F6746F"/>
    <w:rsid w:val="00F7378B"/>
    <w:rsid w:val="00F7579C"/>
    <w:rsid w:val="00F76010"/>
    <w:rsid w:val="00F77297"/>
    <w:rsid w:val="00F803F5"/>
    <w:rsid w:val="00F83B0F"/>
    <w:rsid w:val="00F868F8"/>
    <w:rsid w:val="00F92BD1"/>
    <w:rsid w:val="00F93519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2B89"/>
    <w:rsid w:val="00FC4B96"/>
    <w:rsid w:val="00FC563F"/>
    <w:rsid w:val="00FC7894"/>
    <w:rsid w:val="00FD2747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EB13AF-AC67-4C22-B40C-49D23B6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FD26CDDF0B3F0EE165E83891B3225AC0DCF9FC16B8DE9CE8454751E0B91CC66F692C488017CAAv1s1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ug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44E5-3352-4C24-AA6B-4E1E76E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9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97</cp:revision>
  <cp:lastPrinted>2017-10-13T03:27:00Z</cp:lastPrinted>
  <dcterms:created xsi:type="dcterms:W3CDTF">2016-10-05T05:03:00Z</dcterms:created>
  <dcterms:modified xsi:type="dcterms:W3CDTF">2017-11-03T08:50:00Z</dcterms:modified>
</cp:coreProperties>
</file>