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E0" w:rsidRDefault="00D34BE0" w:rsidP="00D34BE0">
      <w:pPr>
        <w:pStyle w:val="ConsPlusNormal"/>
        <w:jc w:val="right"/>
        <w:outlineLvl w:val="1"/>
      </w:pPr>
      <w:r>
        <w:t>Приложение 10</w:t>
      </w:r>
    </w:p>
    <w:p w:rsidR="00D34BE0" w:rsidRDefault="00D34BE0" w:rsidP="00D34BE0">
      <w:pPr>
        <w:pStyle w:val="ConsPlusNormal"/>
        <w:jc w:val="right"/>
      </w:pPr>
      <w:r>
        <w:t>к государственной программе</w:t>
      </w:r>
    </w:p>
    <w:p w:rsidR="00D34BE0" w:rsidRDefault="00D34BE0" w:rsidP="00D34BE0">
      <w:pPr>
        <w:pStyle w:val="ConsPlusNormal"/>
        <w:jc w:val="right"/>
      </w:pPr>
      <w:r>
        <w:t>Ханты-Мансийского автономного округа - Югры</w:t>
      </w:r>
    </w:p>
    <w:p w:rsidR="00D34BE0" w:rsidRDefault="00D34BE0" w:rsidP="00D34BE0">
      <w:pPr>
        <w:pStyle w:val="ConsPlusNormal"/>
        <w:jc w:val="right"/>
      </w:pPr>
      <w:r>
        <w:t>"Развитие агропромышленного комплекса</w:t>
      </w:r>
    </w:p>
    <w:p w:rsidR="00D34BE0" w:rsidRDefault="00D34BE0" w:rsidP="00D34BE0">
      <w:pPr>
        <w:pStyle w:val="ConsPlusNormal"/>
        <w:jc w:val="right"/>
      </w:pPr>
      <w:r>
        <w:t>и рынков сельскохозяйственной продукции,</w:t>
      </w:r>
    </w:p>
    <w:p w:rsidR="00D34BE0" w:rsidRDefault="00D34BE0" w:rsidP="00D34BE0">
      <w:pPr>
        <w:pStyle w:val="ConsPlusNormal"/>
        <w:jc w:val="right"/>
      </w:pPr>
      <w:r>
        <w:t>сырья и продовольствия в Ханты-Мансийском</w:t>
      </w:r>
    </w:p>
    <w:p w:rsidR="00D34BE0" w:rsidRDefault="00D34BE0" w:rsidP="00D34BE0">
      <w:pPr>
        <w:pStyle w:val="ConsPlusNormal"/>
        <w:jc w:val="right"/>
      </w:pPr>
      <w:r>
        <w:t>автономном округе - Югре</w:t>
      </w:r>
    </w:p>
    <w:p w:rsidR="00D34BE0" w:rsidRDefault="00D34BE0" w:rsidP="00D34BE0">
      <w:pPr>
        <w:pStyle w:val="ConsPlusNormal"/>
        <w:jc w:val="right"/>
      </w:pPr>
      <w:r>
        <w:t>в 2016 - 2020 годах"</w:t>
      </w:r>
    </w:p>
    <w:p w:rsidR="00D34BE0" w:rsidRDefault="00D34BE0" w:rsidP="00D34BE0">
      <w:pPr>
        <w:pStyle w:val="ConsPlusNormal"/>
        <w:jc w:val="both"/>
      </w:pPr>
    </w:p>
    <w:p w:rsidR="00D34BE0" w:rsidRDefault="00D34BE0" w:rsidP="00D34BE0">
      <w:pPr>
        <w:pStyle w:val="ConsPlusTitle"/>
        <w:jc w:val="center"/>
      </w:pPr>
      <w:r>
        <w:t>ПОРЯДОК</w:t>
      </w:r>
    </w:p>
    <w:p w:rsidR="00D34BE0" w:rsidRDefault="00D34BE0" w:rsidP="00D34BE0">
      <w:pPr>
        <w:pStyle w:val="ConsPlusTitle"/>
        <w:jc w:val="center"/>
      </w:pPr>
      <w:r>
        <w:t>ПРЕДОСТАВЛЕНИЯ СУБСИДИЙ НА РЕАЛИЗАЦИЮ ПРОЕКТОВ ПО ЗАГОТОВКЕ</w:t>
      </w:r>
    </w:p>
    <w:p w:rsidR="00D34BE0" w:rsidRDefault="00D34BE0" w:rsidP="00D34BE0">
      <w:pPr>
        <w:pStyle w:val="ConsPlusTitle"/>
        <w:jc w:val="center"/>
      </w:pPr>
      <w:r>
        <w:t>И ПЕРЕРАБОТКЕ ДИКОРОСОВ (ДАЛЕЕ - ПОРЯДОК)</w:t>
      </w:r>
    </w:p>
    <w:p w:rsidR="00D34BE0" w:rsidRDefault="00D34BE0" w:rsidP="00D34BE0">
      <w:pPr>
        <w:pStyle w:val="ConsPlusNormal"/>
        <w:jc w:val="center"/>
      </w:pPr>
    </w:p>
    <w:p w:rsidR="00D34BE0" w:rsidRDefault="00D34BE0" w:rsidP="00D34BE0">
      <w:pPr>
        <w:pStyle w:val="ConsPlusNormal"/>
        <w:jc w:val="center"/>
      </w:pPr>
      <w:r>
        <w:t>Список изменяющих документов</w:t>
      </w:r>
    </w:p>
    <w:p w:rsidR="00D34BE0" w:rsidRDefault="00D34BE0" w:rsidP="00D34BE0">
      <w:pPr>
        <w:pStyle w:val="ConsPlusNormal"/>
        <w:jc w:val="center"/>
      </w:pPr>
      <w:r>
        <w:t xml:space="preserve">(в ред. постановлений Правительства ХМАО - Югры от 03.10.2014 </w:t>
      </w:r>
      <w:hyperlink r:id="rId4" w:history="1">
        <w:r>
          <w:rPr>
            <w:color w:val="0000FF"/>
          </w:rPr>
          <w:t>N 365-п</w:t>
        </w:r>
      </w:hyperlink>
      <w:r>
        <w:t>,</w:t>
      </w:r>
    </w:p>
    <w:p w:rsidR="00D34BE0" w:rsidRDefault="00D34BE0" w:rsidP="00D34BE0">
      <w:pPr>
        <w:pStyle w:val="ConsPlusNormal"/>
        <w:jc w:val="center"/>
      </w:pPr>
      <w:r>
        <w:t xml:space="preserve">от 31.10.2014 </w:t>
      </w:r>
      <w:hyperlink r:id="rId5" w:history="1">
        <w:r>
          <w:rPr>
            <w:color w:val="0000FF"/>
          </w:rPr>
          <w:t>N 402-п</w:t>
        </w:r>
      </w:hyperlink>
      <w:r>
        <w:t xml:space="preserve">, от 13.11.2015 </w:t>
      </w:r>
      <w:hyperlink r:id="rId6" w:history="1">
        <w:r>
          <w:rPr>
            <w:color w:val="0000FF"/>
          </w:rPr>
          <w:t>N 405-п</w:t>
        </w:r>
      </w:hyperlink>
      <w:r>
        <w:t xml:space="preserve">, от 10.06.2016 </w:t>
      </w:r>
      <w:hyperlink r:id="rId7" w:history="1">
        <w:r>
          <w:rPr>
            <w:color w:val="0000FF"/>
          </w:rPr>
          <w:t>N 207-п</w:t>
        </w:r>
      </w:hyperlink>
      <w:r>
        <w:t>,</w:t>
      </w:r>
    </w:p>
    <w:p w:rsidR="00D34BE0" w:rsidRDefault="00D34BE0" w:rsidP="00D34BE0">
      <w:pPr>
        <w:pStyle w:val="ConsPlusNormal"/>
        <w:jc w:val="center"/>
      </w:pPr>
      <w:r>
        <w:t xml:space="preserve">от 02.02.2017 </w:t>
      </w:r>
      <w:hyperlink r:id="rId8" w:history="1">
        <w:r>
          <w:rPr>
            <w:color w:val="0000FF"/>
          </w:rPr>
          <w:t>N 35-п</w:t>
        </w:r>
      </w:hyperlink>
      <w:r>
        <w:t xml:space="preserve">, от 22.02.2017 </w:t>
      </w:r>
      <w:hyperlink r:id="rId9" w:history="1">
        <w:r>
          <w:rPr>
            <w:color w:val="0000FF"/>
          </w:rPr>
          <w:t>N 69-п</w:t>
        </w:r>
      </w:hyperlink>
      <w:r>
        <w:t>)</w:t>
      </w:r>
    </w:p>
    <w:p w:rsidR="00D34BE0" w:rsidRDefault="00D34BE0" w:rsidP="00D34BE0">
      <w:pPr>
        <w:pStyle w:val="ConsPlusNormal"/>
        <w:jc w:val="both"/>
      </w:pPr>
    </w:p>
    <w:p w:rsidR="00D34BE0" w:rsidRDefault="00D34BE0" w:rsidP="00D34BE0">
      <w:pPr>
        <w:pStyle w:val="ConsPlusNormal"/>
        <w:jc w:val="center"/>
        <w:outlineLvl w:val="2"/>
      </w:pPr>
      <w:r>
        <w:t>I. Общие положения</w:t>
      </w:r>
    </w:p>
    <w:p w:rsidR="00D34BE0" w:rsidRDefault="00D34BE0" w:rsidP="00D34BE0">
      <w:pPr>
        <w:pStyle w:val="ConsPlusNormal"/>
        <w:jc w:val="both"/>
      </w:pPr>
    </w:p>
    <w:p w:rsidR="00D34BE0" w:rsidRDefault="00D34BE0" w:rsidP="00D34BE0">
      <w:pPr>
        <w:pStyle w:val="ConsPlusNormal"/>
        <w:ind w:firstLine="540"/>
        <w:jc w:val="both"/>
      </w:pPr>
      <w:r>
        <w:t>1.1. Настоящий Порядок определяет цель, условия, правила предоставления субсидий на реализацию проектов по заготовке и переработке дикоросов (далее - проект) в пределах средств, предусмотренных на эти цели в бюджете Ханты-Мансийского автономного округа - Югры (далее также - автономный округ) на текущий год.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1.2. Субсидии на реализацию проектов по заготовке и переработке дикоросов предоставляются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(далее - Получатели), зарегистрированным и осуществляющим свою деятельность в автономном округе.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1.3. Под субсидией на реализацию проекта (далее - субсидия) в настоящем Порядке понимаются денежные средства, перечисляемые из бюджета автономного округа на счет Получателя, открытый в кредитной организации, на условиях софинансирования затрат на реализацию проекта, включая: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разработку проектной документации строительства, реконструкции или модернизации объектов по заготовке и (или) переработке дикоросов;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строительство, реконструкцию или модернизацию объектов по заготовке и (или) переработке дикоросов;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комплектацию объектов по заготовке и (или) переработке дикоросов оборудованием и техникой, а также их монтаж.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1.4. Субсидии предоставляются Получателям, прошедшим конкурсный отбор на включение в состав участников государственной программы "Развитие агропромышленного комплекса и рынков сельскохозяйственной продукции, сырья и продовольствия в Ханты-Мансийском автономном округе - Югре в 2016 - 2020 годах" (далее - государственная программа), в соответствии с настоящим Порядком.</w:t>
      </w:r>
    </w:p>
    <w:p w:rsidR="00D34BE0" w:rsidRDefault="00D34BE0" w:rsidP="00D34BE0">
      <w:pPr>
        <w:pStyle w:val="ConsPlusNormal"/>
        <w:jc w:val="both"/>
      </w:pPr>
      <w:r>
        <w:t xml:space="preserve">(в ред. постановлений Правительства ХМАО - Югры от 13.11.2015 </w:t>
      </w:r>
      <w:hyperlink r:id="rId10" w:history="1">
        <w:r>
          <w:rPr>
            <w:color w:val="0000FF"/>
          </w:rPr>
          <w:t>N 405-п</w:t>
        </w:r>
      </w:hyperlink>
      <w:r>
        <w:t xml:space="preserve">, от 10.06.2016 </w:t>
      </w:r>
      <w:hyperlink r:id="rId11" w:history="1">
        <w:r>
          <w:rPr>
            <w:color w:val="0000FF"/>
          </w:rPr>
          <w:t>N 207-п</w:t>
        </w:r>
      </w:hyperlink>
      <w:r>
        <w:t>)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 xml:space="preserve">1.5. Субсидия предоставляется на реализацию проекта и определяется в соответствии с планом расходов, включенным в проект (далее - план расходов), в размере не более 70 процентов </w:t>
      </w:r>
      <w:r>
        <w:lastRenderedPageBreak/>
        <w:t>затрат (но не более 1500 тыс. рублей).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1.6. Размер субсидии определяется конкурсной комиссией, созданной приказом Департамента промышленности Ханты-Мансийского автономного округа - Югры (далее - Департамент), с учетом наличия собственных средств Получателя. Изменение плана расходов, в том числе в пределах предоставленной субсидии, подлежит согласованию с конкурсной комиссией.</w:t>
      </w:r>
    </w:p>
    <w:p w:rsidR="00D34BE0" w:rsidRDefault="00D34BE0" w:rsidP="00D34BE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35-п)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Расходы на проведение экспертизы проекта не могут составлять более 1 процента от общего объема средств, предназначенных на выплату субсидий на соответствующий финансовый год.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1.7. Субсидия должна быть израсходована в течение 18 месяцев со дня ее поступления на банковский счет Получателя.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1.8. Перечисление субсидии осуществляется поэтапно: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 этап - 50 процентов установленной суммы;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2 этап - 50 процентов установленной суммы после предоставления и утверждения отчета об освоении полученной части субсидии 1 этапа.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1.9. Субсидия может быть предоставлена Получателю только 1 раз.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1.10. Получивший субсидию не может получить государственную поддержку по иным мероприятиям государственной программы, за исключением субсидии на уплату процентов по кредитам (займам) в отношении объектов, приобретенных, построенных, реконструированных или модернизированных за счет средств субсидии.</w:t>
      </w:r>
    </w:p>
    <w:p w:rsidR="00D34BE0" w:rsidRDefault="00D34BE0" w:rsidP="00D34BE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1.11. Основанием для перечисления субсидии является соглашение о предоставлении субсидии (далее - Соглашение), заключенное между Департаментом и Получателем.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1.12. Форма Соглашения утверждается Департаментом. Соглашение заключается сроком на 5 лет.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1.13. Соглашение должно содержать следующие положения: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цель использования субсидии;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план расходов;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согласие Получателя на осуществление Департаментом и органом государственного финансового контроля автономного округа проверок соблюдения условий, целей и порядка предоставления субсидии;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обязательства сторон, сроки предоставления, размер субсидии;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порядок контроля соблюдения Получателем условий Соглашения;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порядок, сроки и состав отчетности Получателя об использовании субсидии;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порядок возврата в текущем финансовом году остатков субсидий, не использованных в отчетном финансовом году, в случаях, предусмотренных Соглашением;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субсидии.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lastRenderedPageBreak/>
        <w:t xml:space="preserve">1.14. Департамент формирует единый список Получателей, заявившихся на текущий год, в хронологической последовательности согласно </w:t>
      </w:r>
      <w:proofErr w:type="gramStart"/>
      <w:r>
        <w:t>регистрации заявок</w:t>
      </w:r>
      <w:proofErr w:type="gramEnd"/>
      <w:r>
        <w:t xml:space="preserve"> на отбор участников государственной программы по предоставлению субсидии (далее - заявка).</w:t>
      </w:r>
    </w:p>
    <w:p w:rsidR="00D34BE0" w:rsidRDefault="00D34BE0" w:rsidP="00D34BE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 xml:space="preserve">1.15.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22.02.2017 N 69-п.</w:t>
      </w:r>
    </w:p>
    <w:p w:rsidR="00D34BE0" w:rsidRDefault="00D34BE0" w:rsidP="00D34BE0">
      <w:pPr>
        <w:pStyle w:val="ConsPlusNormal"/>
        <w:jc w:val="both"/>
      </w:pPr>
    </w:p>
    <w:p w:rsidR="00D34BE0" w:rsidRDefault="00D34BE0" w:rsidP="00D34BE0">
      <w:pPr>
        <w:pStyle w:val="ConsPlusNormal"/>
        <w:jc w:val="center"/>
        <w:outlineLvl w:val="2"/>
      </w:pPr>
      <w:r>
        <w:t>II. Условия предоставления субсидий</w:t>
      </w:r>
    </w:p>
    <w:p w:rsidR="00D34BE0" w:rsidRDefault="00D34BE0" w:rsidP="00D34BE0">
      <w:pPr>
        <w:pStyle w:val="ConsPlusNormal"/>
        <w:jc w:val="both"/>
      </w:pPr>
    </w:p>
    <w:p w:rsidR="00D34BE0" w:rsidRDefault="00D34BE0" w:rsidP="00D34BE0">
      <w:pPr>
        <w:pStyle w:val="ConsPlusNormal"/>
        <w:ind w:firstLine="540"/>
        <w:jc w:val="both"/>
      </w:pPr>
      <w:bookmarkStart w:id="0" w:name="P4689"/>
      <w:bookmarkEnd w:id="0"/>
      <w:r>
        <w:t>2.1. В конкурсную комиссию для участия в конкурсном отборе на включение в состав участников государственной программы может подать заявку Получатель, одновременно соответствующий следующим требованиям:</w:t>
      </w:r>
    </w:p>
    <w:p w:rsidR="00D34BE0" w:rsidRDefault="00D34BE0" w:rsidP="00D34BE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1) срок деятельности на дату подачи заявки превышает 12 месяцев от даты регистрации на территории автономного округа;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2) ранее не являлся получателем субсидий на реализацию проектов по заготовке и переработке дикоросов;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3) ранее не являлся получателем средств государственной поддержки на развитие планируемых объектов проекта по заготовке и переработке дикоросов;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4) проект со сроком окупаемости не более 8 лет по форме, утвержденной Департаментом;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5) план расходов содержит указания наименований приобретаемого имущества, выполняемых работ, оказываемых услуг, их количества, цены, источников финансирования (средств субсидии, собственных и заемных средств);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6) обязуется оплачивать не менее 30 процентов стоимости каждого наименования, указанного в плане расходов, в том числе за счет собственных средств - не менее 10 процентов;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7) планирует создание условий для организации не менее 3 постоянных рабочих мест;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8) обязуется осуществлять деятельность в течение не менее 5 лет после получения субсидии;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9) соглашается на передачу и обработку его персональных данных в соответствии с законодательством Российской Федерации.</w:t>
      </w:r>
    </w:p>
    <w:p w:rsidR="00D34BE0" w:rsidRDefault="00D34BE0" w:rsidP="00D34BE0">
      <w:pPr>
        <w:pStyle w:val="ConsPlusNormal"/>
        <w:jc w:val="both"/>
      </w:pPr>
    </w:p>
    <w:p w:rsidR="00D34BE0" w:rsidRDefault="00D34BE0" w:rsidP="00D34BE0">
      <w:pPr>
        <w:pStyle w:val="ConsPlusNormal"/>
        <w:jc w:val="center"/>
        <w:outlineLvl w:val="2"/>
      </w:pPr>
      <w:r>
        <w:t>III. Правила предоставления субсидий</w:t>
      </w:r>
    </w:p>
    <w:p w:rsidR="00D34BE0" w:rsidRDefault="00D34BE0" w:rsidP="00D34BE0">
      <w:pPr>
        <w:pStyle w:val="ConsPlusNormal"/>
        <w:jc w:val="both"/>
      </w:pPr>
    </w:p>
    <w:p w:rsidR="00D34BE0" w:rsidRDefault="00D34BE0" w:rsidP="00D34BE0">
      <w:pPr>
        <w:pStyle w:val="ConsPlusNormal"/>
        <w:ind w:firstLine="540"/>
        <w:jc w:val="both"/>
      </w:pPr>
      <w:r>
        <w:t>3.1. Департамент объявляет конкурс на отбор участников государственной программы по предоставлению субсидии (далее - Конкурс).</w:t>
      </w:r>
    </w:p>
    <w:p w:rsidR="00D34BE0" w:rsidRDefault="00D34BE0" w:rsidP="00D34BE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3.2. Срок проведения Конкурса, его этапы, состав конкурсной комиссии, положение о ней, форма заявки для участия в Конкурсе и срок ее представления в конкурсную комиссию утверждаются Департаментом.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bookmarkStart w:id="1" w:name="P4706"/>
      <w:bookmarkEnd w:id="1"/>
      <w:r>
        <w:t>3.3. Получатели представляют в конкурсную комиссию следующие документы (подлинники или их копии, заверенные в установленном законодательством Российской Федерации порядке):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1) заявку;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2) доверенность на право подачи заявки от имени Получателя, в случае если она подается не Получателем, а его представителем;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lastRenderedPageBreak/>
        <w:t>3) копию документа, подтверждающего открытие банковского счета;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4) документы, подтверждающие наличие денежных средств в размере не менее 30 процентов от стоимости приобретаемого имущества, выполняемых работ, оказываемых услуг на реализацию проекта по заготовке и переработке дикоросов, в том числе непосредственно за счет собственных средств не менее 10 процентов;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5) справку Фонда поддержки предпринимательства Югры о том, что Получатель до подачи заявки не получал грант в форме субсидий при реализации мероприятия по развитию планируемых объектов проекта по заготовке и переработке дикоросов;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6) книгу учета доходов и расходов (на последнюю отчетную дату и за предшествующий финансовый год);</w:t>
      </w:r>
    </w:p>
    <w:p w:rsidR="00D34BE0" w:rsidRDefault="00D34BE0" w:rsidP="00D34BE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22.02.2017 N 69-п)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7) проект со сроком окупаемости не более 8 лет по форме, утвержденной Департаментом;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8) план расходов, по форме, утвержденной Департаментом;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9) в случае членства в перерабатывающем кооперативе или наличии договоров с хозяйствующими субъектами о поставке на переработку производимой продукции, подтверждающие документы;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10) рекомендательные письма (не менее двух) от органов местного самоуправления, или общественных организаций, или поручителей (по усмотрению Получателя);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11) в случае наличия проектно-сметной документации на планируемые объекты, наличия договоров на оказание услуг, поставку оборудования, техники, инвентаря, подтверждающие документы.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 xml:space="preserve">3.4. Департамент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по необходимости, следующие документы:</w:t>
      </w:r>
    </w:p>
    <w:p w:rsidR="00D34BE0" w:rsidRDefault="00D34BE0" w:rsidP="00D34BE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документы об отсутствии задолженности по уплате налогов и взносов в бюджеты любого уровня и государственные внебюджетные фонды;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Указанные документы могут быть представлены Получателем самостоятельно в течение 1 рабочего дня.</w:t>
      </w:r>
    </w:p>
    <w:p w:rsidR="00D34BE0" w:rsidRDefault="00D34BE0" w:rsidP="00D34BE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3.5. Требовать от Получателя представления документов (копий документов), не предусмотренных настоящим Порядком, не допускается.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 xml:space="preserve">3.6. Документы (копии документов), предусмотренные в </w:t>
      </w:r>
      <w:hyperlink w:anchor="P4689" w:history="1">
        <w:r>
          <w:rPr>
            <w:color w:val="0000FF"/>
          </w:rPr>
          <w:t>пункте 2.1</w:t>
        </w:r>
      </w:hyperlink>
      <w:r>
        <w:t xml:space="preserve"> настоящего Порядка, представляются в Департамент по адресу: 628006, Ханты-Мансийский автономный округ - Югра, г. Ханты-Мансийск, ул. Мира, дом 14а, сформированными в один прошнурованный и пронумерованный комплект:</w:t>
      </w:r>
    </w:p>
    <w:p w:rsidR="00D34BE0" w:rsidRDefault="00D34BE0" w:rsidP="00D34BE0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35-п)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непосредственно или почтовым отправлением. Наименования, номера и даты всех представляемых Получателем документов, количество листов в них вносятся в опись, составляемую в двух экземплярах. 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в электронной форме - подписанные усиленной квалифицированной электронной подписью на адрес электронной почты Департамента: depprom@admhmao.ru.</w:t>
      </w:r>
    </w:p>
    <w:p w:rsidR="00D34BE0" w:rsidRDefault="00D34BE0" w:rsidP="00D34BE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35-п)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3.7. Конкурсная комиссия в течение 15 рабочих дней со дня окончания срока приема заявок рассматривает документы и принимает решение в форме протокола о предоставлении субсидии или об отказе в предоставлении субсидии.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3.8. В случае принятия решения о предоставлении субсидии Департамент в течение 5 рабочих дней со дня его принятия направляет Получателю Соглашение (дополнительное соглашение - применяется при наличии действующего Соглашения) для подписания.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3.9. В случае принятия решения об отказе в предоставлении субсидии конкурсная комиссия в течение 5 рабочих дней со дня принятия решения направляет Получателю уведомление об отказе в ее предоставлении с указанием причин отказа.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bookmarkStart w:id="2" w:name="P4735"/>
      <w:bookmarkEnd w:id="2"/>
      <w:r>
        <w:t>3.10. Основаниями для отказа в предоставлении субсидии являются: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отсутствие лимитов, предусмотренных для предоставления субсидий, в бюджете автономного округа;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нарушение срока представления документов;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 xml:space="preserve">непредставление Получателем документов, указанных в </w:t>
      </w:r>
      <w:hyperlink w:anchor="P4706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представление документов с нарушением требований к их оформлению;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выявление в представленных документах сведений, не соответствующих действительности;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 xml:space="preserve">несоответствие Получателя требованиям, установленным </w:t>
      </w:r>
      <w:hyperlink w:anchor="P4689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наличие задолженности по уплате налогов и взносов в бюджеты любого уровня и государственные внебюджетные фонды;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возбуждение в отношении Получателя производства по делу о банкротстве, применение процедуры наблюдения или внешнего управления, признание в установленном порядке банкротом, применение процедуры ликвидации;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непрохождение конкурса на отбор участников государственной программы.</w:t>
      </w:r>
    </w:p>
    <w:p w:rsidR="00D34BE0" w:rsidRDefault="00D34BE0" w:rsidP="00D34BE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 xml:space="preserve">3.11. В случае отсутствия оснований, предусмотренных в </w:t>
      </w:r>
      <w:hyperlink w:anchor="P4735" w:history="1">
        <w:r>
          <w:rPr>
            <w:color w:val="0000FF"/>
          </w:rPr>
          <w:t>пункте 3.10</w:t>
        </w:r>
      </w:hyperlink>
      <w:r>
        <w:t xml:space="preserve"> настоящего Порядка, Департамент в течение 15 рабочих дней от даты подписания сторонами Соглашения осуществляет перечисление субсидии Получателю в пределах утвержденных бюджетных ассигнований.</w:t>
      </w:r>
    </w:p>
    <w:p w:rsidR="00D34BE0" w:rsidRDefault="00D34BE0" w:rsidP="00D34BE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31.10.2014 N 402-п)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3.12. Каждый Получатель представляет отчет в установленные Соглашением сроки об использовании субсидии по результатам 1 и 2 этапов.</w:t>
      </w:r>
    </w:p>
    <w:p w:rsidR="00D34BE0" w:rsidRDefault="00D34BE0" w:rsidP="00D34BE0">
      <w:pPr>
        <w:pStyle w:val="ConsPlusNormal"/>
        <w:jc w:val="both"/>
      </w:pPr>
    </w:p>
    <w:p w:rsidR="00D34BE0" w:rsidRDefault="00D34BE0" w:rsidP="00D34BE0">
      <w:pPr>
        <w:pStyle w:val="ConsPlusNormal"/>
        <w:jc w:val="center"/>
        <w:outlineLvl w:val="2"/>
      </w:pPr>
      <w:r>
        <w:t>IV. Правила возврата субсидий в случае нарушения условий,</w:t>
      </w:r>
    </w:p>
    <w:p w:rsidR="00D34BE0" w:rsidRDefault="00D34BE0" w:rsidP="00D34BE0">
      <w:pPr>
        <w:pStyle w:val="ConsPlusNormal"/>
        <w:jc w:val="center"/>
      </w:pPr>
      <w:r>
        <w:lastRenderedPageBreak/>
        <w:t>установленных при их предоставлении</w:t>
      </w:r>
    </w:p>
    <w:p w:rsidR="00D34BE0" w:rsidRDefault="00D34BE0" w:rsidP="00D34BE0">
      <w:pPr>
        <w:pStyle w:val="ConsPlusNormal"/>
        <w:jc w:val="both"/>
      </w:pPr>
    </w:p>
    <w:p w:rsidR="00D34BE0" w:rsidRDefault="00D34BE0" w:rsidP="00D34BE0">
      <w:pPr>
        <w:pStyle w:val="ConsPlusNormal"/>
        <w:ind w:firstLine="540"/>
        <w:jc w:val="both"/>
      </w:pPr>
      <w:bookmarkStart w:id="3" w:name="P4753"/>
      <w:bookmarkEnd w:id="3"/>
      <w:r>
        <w:t>4.1. В случае выявления нецелевого использования бюджетных средств, недостоверных сведений субсидии не выплачиваются, а выплаченные в счет них суммы подлежат возврату.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bookmarkStart w:id="4" w:name="P4754"/>
      <w:bookmarkEnd w:id="4"/>
      <w:r>
        <w:t xml:space="preserve">4.2. Департамент в течение 5 рабочих дней со дня выявления фактов, предусмотренных </w:t>
      </w:r>
      <w:hyperlink w:anchor="P4753" w:history="1">
        <w:r>
          <w:rPr>
            <w:color w:val="0000FF"/>
          </w:rPr>
          <w:t>пунктом 4.1</w:t>
        </w:r>
      </w:hyperlink>
      <w:r>
        <w:t xml:space="preserve"> настоящего Порядка, направляет Получателю письменное уведомление о прекращении выплаты субсидии и необходимости возврата выплаченных в счет нее сумм (далее - уведомление).</w:t>
      </w:r>
    </w:p>
    <w:p w:rsidR="00D34BE0" w:rsidRDefault="00D34BE0" w:rsidP="00D34BE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4.3. Получатель в течение 30 рабочих дней со дня направления уведомления обязан выполнить требования, указанные в нем.</w:t>
      </w:r>
    </w:p>
    <w:p w:rsidR="00D34BE0" w:rsidRDefault="00D34BE0" w:rsidP="00D34BE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bookmarkStart w:id="5" w:name="P4758"/>
      <w:bookmarkEnd w:id="5"/>
      <w:r>
        <w:t xml:space="preserve">4.4. При невозврате субсидии в указанный срок Департамент обращается в суд в соответствии </w:t>
      </w:r>
      <w:bookmarkStart w:id="6" w:name="_GoBack"/>
      <w:bookmarkEnd w:id="6"/>
      <w:r>
        <w:t>с законодательством Российской Федерации.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>4.5. Ответственность за достоверность фактических показателей, сведений в представленных документах несет Получатель.</w:t>
      </w:r>
    </w:p>
    <w:p w:rsidR="00D34BE0" w:rsidRDefault="00D34BE0" w:rsidP="00D34BE0">
      <w:pPr>
        <w:pStyle w:val="ConsPlusNormal"/>
        <w:spacing w:before="220"/>
        <w:ind w:firstLine="540"/>
        <w:jc w:val="both"/>
      </w:pPr>
      <w:r>
        <w:t xml:space="preserve">4.6. Возврат в текущем финансовом году Получателем остатков субсидии, не использованных в отчетном финансовом году, в случаях, предусмотренных Соглашением, осуществляется в порядке, предусмотренном </w:t>
      </w:r>
      <w:hyperlink w:anchor="P4754" w:history="1">
        <w:r>
          <w:rPr>
            <w:color w:val="0000FF"/>
          </w:rPr>
          <w:t>пунктами 4.2</w:t>
        </w:r>
      </w:hyperlink>
      <w:r>
        <w:t xml:space="preserve"> - </w:t>
      </w:r>
      <w:hyperlink w:anchor="P4758" w:history="1">
        <w:r>
          <w:rPr>
            <w:color w:val="0000FF"/>
          </w:rPr>
          <w:t>4.4</w:t>
        </w:r>
      </w:hyperlink>
      <w:r>
        <w:t xml:space="preserve"> настоящего Порядка.</w:t>
      </w:r>
    </w:p>
    <w:p w:rsidR="00D34BE0" w:rsidRDefault="00D34BE0" w:rsidP="00D34BE0">
      <w:pPr>
        <w:pStyle w:val="ConsPlusNormal"/>
        <w:jc w:val="both"/>
      </w:pPr>
    </w:p>
    <w:p w:rsidR="00D34BE0" w:rsidRDefault="00D34BE0" w:rsidP="00D34BE0">
      <w:pPr>
        <w:pStyle w:val="ConsPlusNormal"/>
        <w:jc w:val="both"/>
      </w:pPr>
    </w:p>
    <w:p w:rsidR="00D34BE0" w:rsidRDefault="00D34BE0" w:rsidP="00D34BE0">
      <w:pPr>
        <w:pStyle w:val="ConsPlusNormal"/>
        <w:jc w:val="both"/>
      </w:pPr>
    </w:p>
    <w:p w:rsidR="00D34BE0" w:rsidRDefault="00D34BE0" w:rsidP="00D34BE0">
      <w:pPr>
        <w:pStyle w:val="ConsPlusNormal"/>
        <w:jc w:val="both"/>
      </w:pPr>
    </w:p>
    <w:p w:rsidR="00500C0B" w:rsidRDefault="00500C0B"/>
    <w:sectPr w:rsidR="0050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34"/>
    <w:rsid w:val="00500C0B"/>
    <w:rsid w:val="00D34BE0"/>
    <w:rsid w:val="00E0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AD3F-42F4-4AE9-9107-9C6AE6A5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4B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227289AFBC48CBDAFB5BEECC77127C75C75FC74EF3C0B7F14FB619B2D8EFE0FDE36837F91E144F758CEE1DU8v1G" TargetMode="External"/><Relationship Id="rId13" Type="http://schemas.openxmlformats.org/officeDocument/2006/relationships/hyperlink" Target="consultantplus://offline/ref=6D227289AFBC48CBDAFB5BEECC77127C75C75FC74EF5C7B5F049B619B2D8EFE0FDE36837F91E144F7589E818U8v4G" TargetMode="External"/><Relationship Id="rId18" Type="http://schemas.openxmlformats.org/officeDocument/2006/relationships/hyperlink" Target="consultantplus://offline/ref=6D227289AFBC48CBDAFB5BEECC77127C75C75FC74EF3C3B9F345B619B2D8EFE0FDE36837F91E144F758CEE1AU8v5G" TargetMode="External"/><Relationship Id="rId26" Type="http://schemas.openxmlformats.org/officeDocument/2006/relationships/hyperlink" Target="consultantplus://offline/ref=6D227289AFBC48CBDAFB5BEECC77127C75C75FC74EF5C7B5F049B619B2D8EFE0FDE36837F91E144F758BE719U8v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227289AFBC48CBDAFB5BEECC77127C75C75FC74EF5C7B5F049B619B2D8EFE0FDE36837F91E144F758BE719U8v5G" TargetMode="External"/><Relationship Id="rId7" Type="http://schemas.openxmlformats.org/officeDocument/2006/relationships/hyperlink" Target="consultantplus://offline/ref=6D227289AFBC48CBDAFB5BEECC77127C75C75FC74EF4C6B2F048B619B2D8EFE0FDE36837F91E144F758CED1BU8v9G" TargetMode="External"/><Relationship Id="rId12" Type="http://schemas.openxmlformats.org/officeDocument/2006/relationships/hyperlink" Target="consultantplus://offline/ref=6D227289AFBC48CBDAFB5BEECC77127C75C75FC74EF3C0B7F14FB619B2D8EFE0FDE36837F91E144F758CEE1DU8v1G" TargetMode="External"/><Relationship Id="rId17" Type="http://schemas.openxmlformats.org/officeDocument/2006/relationships/hyperlink" Target="consultantplus://offline/ref=6D227289AFBC48CBDAFB5BEECC77127C75C75FC74EF5C7B5F049B619B2D8EFE0FDE36837F91E144F7589E818U8v4G" TargetMode="External"/><Relationship Id="rId25" Type="http://schemas.openxmlformats.org/officeDocument/2006/relationships/hyperlink" Target="consultantplus://offline/ref=6D227289AFBC48CBDAFB5BEECC77127C75C75FC74EF7C0B3F44DB619B2D8EFE0FDE36837F91E144F7589E615U8v3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227289AFBC48CBDAFB5BEECC77127C75C75FC74EF5C7B5F049B619B2D8EFE0FDE36837F91E144F7589E818U8v4G" TargetMode="External"/><Relationship Id="rId20" Type="http://schemas.openxmlformats.org/officeDocument/2006/relationships/hyperlink" Target="consultantplus://offline/ref=6D227289AFBC48CBDAFB5BEECC77127C75C75FC74EF5C7B5F049B619B2D8EFE0FDE36837F91E144F758BE719U8v5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227289AFBC48CBDAFB5BEECC77127C75C75FC74EF5C7B5F049B619B2D8EFE0FDE36837F91E144F7589EB19U8v7G" TargetMode="External"/><Relationship Id="rId11" Type="http://schemas.openxmlformats.org/officeDocument/2006/relationships/hyperlink" Target="consultantplus://offline/ref=6D227289AFBC48CBDAFB5BEECC77127C75C75FC74EF4C6B2F048B619B2D8EFE0FDE36837F91E144F758CED1BU8v9G" TargetMode="External"/><Relationship Id="rId24" Type="http://schemas.openxmlformats.org/officeDocument/2006/relationships/hyperlink" Target="consultantplus://offline/ref=6D227289AFBC48CBDAFB5BEECC77127C75C75FC74EF5C7B5F049B619B2D8EFE0FDE36837F91E144F7589E818U8v4G" TargetMode="External"/><Relationship Id="rId5" Type="http://schemas.openxmlformats.org/officeDocument/2006/relationships/hyperlink" Target="consultantplus://offline/ref=6D227289AFBC48CBDAFB5BEECC77127C75C75FC74EF7C0B3F44DB619B2D8EFE0FDE36837F91E144F7589E615U8v3G" TargetMode="External"/><Relationship Id="rId15" Type="http://schemas.openxmlformats.org/officeDocument/2006/relationships/hyperlink" Target="consultantplus://offline/ref=6D227289AFBC48CBDAFB5BEECC77127C75C75FC74EF3C3B9F345B619B2D8EFE0FDE36837F91E144F758CEE1AU8v4G" TargetMode="External"/><Relationship Id="rId23" Type="http://schemas.openxmlformats.org/officeDocument/2006/relationships/hyperlink" Target="consultantplus://offline/ref=6D227289AFBC48CBDAFB5BEECC77127C75C75FC74EF3C0B7F14FB619B2D8EFE0FDE36837F91E144F758CEE1DU8v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6D227289AFBC48CBDAFB5BEECC77127C75C75FC74EF5C7B5F049B619B2D8EFE0FDE36837F91E144F7589E818U8v4G" TargetMode="External"/><Relationship Id="rId19" Type="http://schemas.openxmlformats.org/officeDocument/2006/relationships/hyperlink" Target="consultantplus://offline/ref=6D227289AFBC48CBDAFB45E3DA1B457371CC00CF4CFFCEE7A819B04EEDU8v8G" TargetMode="External"/><Relationship Id="rId4" Type="http://schemas.openxmlformats.org/officeDocument/2006/relationships/hyperlink" Target="consultantplus://offline/ref=6D227289AFBC48CBDAFB5BEECC77127C75C75FC74EF6C0B7F34DB619B2D8EFE0FDE36837F91E144F7589ED15U8v8G" TargetMode="External"/><Relationship Id="rId9" Type="http://schemas.openxmlformats.org/officeDocument/2006/relationships/hyperlink" Target="consultantplus://offline/ref=6D227289AFBC48CBDAFB5BEECC77127C75C75FC74EF3C3B9F345B619B2D8EFE0FDE36837F91E144F758CEE1AU8v3G" TargetMode="External"/><Relationship Id="rId14" Type="http://schemas.openxmlformats.org/officeDocument/2006/relationships/hyperlink" Target="consultantplus://offline/ref=6D227289AFBC48CBDAFB5BEECC77127C75C75FC74EF5C7B5F049B619B2D8EFE0FDE36837F91E144F7589E818U8v4G" TargetMode="External"/><Relationship Id="rId22" Type="http://schemas.openxmlformats.org/officeDocument/2006/relationships/hyperlink" Target="consultantplus://offline/ref=6D227289AFBC48CBDAFB5BEECC77127C75C75FC74EF3C0B7F14FB619B2D8EFE0FDE36837F91E144F758CEE1DU8v8G" TargetMode="External"/><Relationship Id="rId27" Type="http://schemas.openxmlformats.org/officeDocument/2006/relationships/hyperlink" Target="consultantplus://offline/ref=6D227289AFBC48CBDAFB5BEECC77127C75C75FC74EF5C7B5F049B619B2D8EFE0FDE36837F91E144F758BE719U8v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2658</Words>
  <Characters>15155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Антонина Васильевна</dc:creator>
  <cp:keywords/>
  <dc:description/>
  <cp:lastModifiedBy>Новоселова Антонина Васильевна</cp:lastModifiedBy>
  <cp:revision>2</cp:revision>
  <dcterms:created xsi:type="dcterms:W3CDTF">2017-07-11T06:56:00Z</dcterms:created>
  <dcterms:modified xsi:type="dcterms:W3CDTF">2017-07-11T06:57:00Z</dcterms:modified>
</cp:coreProperties>
</file>